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7A" w:rsidRDefault="009D187A" w:rsidP="00C24362">
      <w:pPr>
        <w:rPr>
          <w:lang/>
        </w:rPr>
      </w:pPr>
    </w:p>
    <w:p w:rsidR="00DE4817" w:rsidRPr="00D52A15" w:rsidRDefault="00DE4817" w:rsidP="00C24362">
      <w:pPr>
        <w:rPr>
          <w:lang/>
        </w:rPr>
      </w:pPr>
    </w:p>
    <w:p w:rsidR="009D187A" w:rsidRPr="00D52A15" w:rsidRDefault="009D187A" w:rsidP="00C24362">
      <w:pPr>
        <w:rPr>
          <w:lang/>
        </w:rPr>
      </w:pPr>
    </w:p>
    <w:p w:rsidR="009D187A" w:rsidRPr="00D52A15" w:rsidRDefault="009D187A" w:rsidP="00C24362">
      <w:pPr>
        <w:rPr>
          <w:lang/>
        </w:rPr>
      </w:pPr>
    </w:p>
    <w:p w:rsidR="009D187A" w:rsidRPr="00D52A15" w:rsidRDefault="009D187A" w:rsidP="00C24362">
      <w:pPr>
        <w:rPr>
          <w:lang/>
        </w:rPr>
      </w:pPr>
    </w:p>
    <w:p w:rsidR="009D187A" w:rsidRPr="00D52A15" w:rsidRDefault="009D187A" w:rsidP="00C24362">
      <w:pPr>
        <w:rPr>
          <w:lang/>
        </w:rPr>
      </w:pPr>
    </w:p>
    <w:p w:rsidR="009D187A" w:rsidRDefault="009D187A" w:rsidP="00C24362">
      <w:pPr>
        <w:rPr>
          <w:lang/>
        </w:rPr>
      </w:pPr>
    </w:p>
    <w:p w:rsidR="00DE4817" w:rsidRDefault="00DE4817" w:rsidP="00C24362">
      <w:pPr>
        <w:rPr>
          <w:lang/>
        </w:rPr>
      </w:pPr>
    </w:p>
    <w:p w:rsidR="00DE4817" w:rsidRDefault="00DE4817" w:rsidP="00C24362">
      <w:pPr>
        <w:rPr>
          <w:lang/>
        </w:rPr>
      </w:pPr>
    </w:p>
    <w:p w:rsidR="00DE4817" w:rsidRPr="00D52A15" w:rsidRDefault="00DE4817" w:rsidP="00C24362">
      <w:pPr>
        <w:rPr>
          <w:lang/>
        </w:rPr>
      </w:pPr>
    </w:p>
    <w:p w:rsidR="00772822" w:rsidRPr="00D52A15" w:rsidRDefault="009D187A" w:rsidP="00C24362">
      <w:pPr>
        <w:jc w:val="center"/>
        <w:rPr>
          <w:b/>
          <w:bCs/>
          <w:sz w:val="28"/>
          <w:szCs w:val="28"/>
          <w:lang/>
        </w:rPr>
      </w:pPr>
      <w:r w:rsidRPr="00D52A15">
        <w:rPr>
          <w:b/>
          <w:bCs/>
          <w:sz w:val="28"/>
          <w:szCs w:val="28"/>
          <w:lang/>
        </w:rPr>
        <w:t>ЕНЕРГЕТСКА ТРАНЗИЦИЈА СИСТЕМА ДАЉИНСКОГ ГРЕЈАЊА- МОГУЋНОСТИ И ИЗАЗОВИ</w:t>
      </w:r>
    </w:p>
    <w:p w:rsidR="009D187A" w:rsidRPr="00D52A15" w:rsidRDefault="009D187A" w:rsidP="00C24362">
      <w:pPr>
        <w:jc w:val="center"/>
        <w:rPr>
          <w:lang/>
        </w:rPr>
      </w:pPr>
    </w:p>
    <w:p w:rsidR="009D187A" w:rsidRPr="00D52A15" w:rsidRDefault="009D187A" w:rsidP="00C24362">
      <w:pPr>
        <w:jc w:val="center"/>
        <w:rPr>
          <w:lang/>
        </w:rPr>
      </w:pPr>
      <w:r w:rsidRPr="00D52A15">
        <w:rPr>
          <w:lang/>
        </w:rPr>
        <w:t xml:space="preserve">Марија Живковић, Дејан Ивезић </w:t>
      </w:r>
    </w:p>
    <w:p w:rsidR="009D187A" w:rsidRPr="00D52A15" w:rsidRDefault="009D187A" w:rsidP="00C24362">
      <w:pPr>
        <w:jc w:val="center"/>
        <w:rPr>
          <w:lang/>
        </w:rPr>
      </w:pPr>
      <w:r w:rsidRPr="00D52A15">
        <w:rPr>
          <w:lang/>
        </w:rPr>
        <w:t>Универзитет у Београду, Рударско-геолошки факултет, Београд, Србија</w:t>
      </w:r>
    </w:p>
    <w:p w:rsidR="009D187A" w:rsidRPr="00D52A15" w:rsidRDefault="009E045D" w:rsidP="00C24362">
      <w:pPr>
        <w:jc w:val="center"/>
        <w:rPr>
          <w:lang/>
        </w:rPr>
      </w:pPr>
      <w:hyperlink r:id="rId8" w:history="1">
        <w:r w:rsidR="009D187A" w:rsidRPr="00D52A15">
          <w:rPr>
            <w:rStyle w:val="Hyperlink"/>
            <w:lang/>
          </w:rPr>
          <w:t>marija.zivkovic@rgf.bg.ac.rs</w:t>
        </w:r>
      </w:hyperlink>
      <w:r w:rsidR="009D187A" w:rsidRPr="00D52A15">
        <w:rPr>
          <w:lang/>
        </w:rPr>
        <w:t xml:space="preserve">, </w:t>
      </w:r>
      <w:hyperlink r:id="rId9" w:history="1">
        <w:r w:rsidR="009D187A" w:rsidRPr="00D52A15">
          <w:rPr>
            <w:rStyle w:val="Hyperlink"/>
            <w:lang/>
          </w:rPr>
          <w:t>dejan.ivezic@rgf.bg.ac.rs</w:t>
        </w:r>
      </w:hyperlink>
    </w:p>
    <w:p w:rsidR="009D187A" w:rsidRDefault="009D187A" w:rsidP="00C24362">
      <w:pPr>
        <w:jc w:val="center"/>
        <w:rPr>
          <w:lang/>
        </w:rPr>
      </w:pPr>
    </w:p>
    <w:p w:rsidR="00DE4817" w:rsidRPr="00D52A15" w:rsidRDefault="00DE4817" w:rsidP="00C24362">
      <w:pPr>
        <w:jc w:val="center"/>
        <w:rPr>
          <w:lang/>
        </w:rPr>
      </w:pPr>
    </w:p>
    <w:p w:rsidR="0050592F" w:rsidRPr="00D52A15" w:rsidRDefault="00C24362" w:rsidP="00C24362">
      <w:pPr>
        <w:adjustRightInd w:val="0"/>
        <w:snapToGrid w:val="0"/>
        <w:jc w:val="left"/>
        <w:rPr>
          <w:b/>
          <w:bCs/>
          <w:lang/>
        </w:rPr>
      </w:pPr>
      <w:r w:rsidRPr="00D52A15">
        <w:rPr>
          <w:b/>
          <w:bCs/>
          <w:lang/>
        </w:rPr>
        <w:t>РЕЗИМЕ</w:t>
      </w:r>
    </w:p>
    <w:p w:rsidR="00C24362" w:rsidRPr="00D52A15" w:rsidRDefault="00C24362" w:rsidP="00C24362">
      <w:pPr>
        <w:adjustRightInd w:val="0"/>
        <w:snapToGrid w:val="0"/>
        <w:jc w:val="left"/>
        <w:rPr>
          <w:b/>
          <w:bCs/>
          <w:lang/>
        </w:rPr>
      </w:pPr>
    </w:p>
    <w:p w:rsidR="00C24362" w:rsidRPr="00D52A15" w:rsidRDefault="00D52A15" w:rsidP="00D52A15">
      <w:pPr>
        <w:adjustRightInd w:val="0"/>
        <w:snapToGrid w:val="0"/>
        <w:rPr>
          <w:i/>
          <w:iCs/>
          <w:lang/>
        </w:rPr>
      </w:pPr>
      <w:r w:rsidRPr="00D52A15">
        <w:rPr>
          <w:i/>
          <w:iCs/>
          <w:lang/>
        </w:rPr>
        <w:t>Највише енергије у зградама у Србији троши се на загревање простора. Због тога ће системи даљинског грејања имати важну улогу у процесу транзиције целокупног енергетског сектора. Мере и активности морају да буду усмерене и на потрошњу и производњу енергије.  У раду је дат преглед потенцијала различитих обновљивих и алтернативних извора енергије, који се могу користити за производњу топлотне енергије. Приказани резултати су приказани са различитим нивоом детаљности, у зависности од расположивих података, а који могу да служе као основа за планирање развоја сваког од система и дефинисање реалних и остваривих циљева.</w:t>
      </w:r>
    </w:p>
    <w:p w:rsidR="00C24362" w:rsidRPr="00D52A15" w:rsidRDefault="00C24362" w:rsidP="00C24362">
      <w:pPr>
        <w:adjustRightInd w:val="0"/>
        <w:snapToGrid w:val="0"/>
        <w:jc w:val="left"/>
        <w:rPr>
          <w:b/>
          <w:bCs/>
          <w:lang/>
        </w:rPr>
      </w:pPr>
    </w:p>
    <w:p w:rsidR="00C24362" w:rsidRPr="00D52A15" w:rsidRDefault="00C24362" w:rsidP="00D52A15">
      <w:pPr>
        <w:adjustRightInd w:val="0"/>
        <w:snapToGrid w:val="0"/>
        <w:rPr>
          <w:b/>
          <w:bCs/>
          <w:lang/>
        </w:rPr>
      </w:pPr>
      <w:r w:rsidRPr="00D52A15">
        <w:rPr>
          <w:b/>
          <w:bCs/>
          <w:lang/>
        </w:rPr>
        <w:t xml:space="preserve">Кључне речи: </w:t>
      </w:r>
      <w:r w:rsidR="00D52A15" w:rsidRPr="00D52A15">
        <w:rPr>
          <w:i/>
          <w:iCs/>
          <w:lang/>
        </w:rPr>
        <w:t>системи даљинског грејања; транзиција; обновљиви извори енергије; потенцијали</w:t>
      </w:r>
      <w:r w:rsidR="00D52A15" w:rsidRPr="00D52A15">
        <w:rPr>
          <w:i/>
          <w:lang/>
        </w:rPr>
        <w:t>.</w:t>
      </w:r>
    </w:p>
    <w:p w:rsidR="00C24362" w:rsidRPr="00D52A15" w:rsidRDefault="00C24362" w:rsidP="00C24362">
      <w:pPr>
        <w:adjustRightInd w:val="0"/>
        <w:snapToGrid w:val="0"/>
        <w:jc w:val="left"/>
        <w:rPr>
          <w:b/>
          <w:bCs/>
          <w:lang/>
        </w:rPr>
      </w:pPr>
    </w:p>
    <w:p w:rsidR="005253A5" w:rsidRPr="00D52A15" w:rsidRDefault="002D0903" w:rsidP="00C24362">
      <w:pPr>
        <w:rPr>
          <w:b/>
          <w:bCs/>
          <w:lang/>
        </w:rPr>
      </w:pPr>
      <w:r w:rsidRPr="00D52A15">
        <w:rPr>
          <w:b/>
          <w:bCs/>
          <w:lang/>
        </w:rPr>
        <w:t>УВОД</w:t>
      </w:r>
    </w:p>
    <w:p w:rsidR="005253A5" w:rsidRPr="00D52A15" w:rsidRDefault="005253A5" w:rsidP="00C24362">
      <w:pPr>
        <w:rPr>
          <w:lang/>
        </w:rPr>
      </w:pPr>
    </w:p>
    <w:p w:rsidR="000333E7" w:rsidRPr="00D52A15" w:rsidRDefault="004B4ABC" w:rsidP="00C24362">
      <w:pPr>
        <w:rPr>
          <w:lang/>
        </w:rPr>
      </w:pPr>
      <w:r w:rsidRPr="00D52A15">
        <w:rPr>
          <w:lang/>
        </w:rPr>
        <w:t>Потрошња енергије у градовима чини више од две трећине укупне потрошње енергије у свету</w:t>
      </w:r>
      <w:r w:rsidR="0074688B" w:rsidRPr="00D52A15">
        <w:rPr>
          <w:lang/>
        </w:rPr>
        <w:t>[1]</w:t>
      </w:r>
      <w:r w:rsidRPr="00D52A15">
        <w:rPr>
          <w:lang/>
        </w:rPr>
        <w:t xml:space="preserve">. У </w:t>
      </w:r>
      <w:r w:rsidR="00EB3ABC" w:rsidRPr="00D52A15">
        <w:rPr>
          <w:lang/>
        </w:rPr>
        <w:t>структури</w:t>
      </w:r>
      <w:r w:rsidRPr="00D52A15">
        <w:rPr>
          <w:lang/>
        </w:rPr>
        <w:t xml:space="preserve"> потрошње доминирају фосилна горива, тако да последична емисија угљендиоксида чини око 70% светске емисије</w:t>
      </w:r>
      <w:r w:rsidR="00C7168F" w:rsidRPr="00D52A15">
        <w:rPr>
          <w:lang/>
        </w:rPr>
        <w:t xml:space="preserve"> гасова са ефектом стаклене баште</w:t>
      </w:r>
      <w:r w:rsidRPr="00D52A15">
        <w:rPr>
          <w:lang/>
        </w:rPr>
        <w:t xml:space="preserve">. Највећи део енергије у урбаним </w:t>
      </w:r>
      <w:r w:rsidR="00EB3ABC" w:rsidRPr="00D52A15">
        <w:rPr>
          <w:lang/>
        </w:rPr>
        <w:t>подручјима</w:t>
      </w:r>
      <w:r w:rsidR="005253A5" w:rsidRPr="00D52A15">
        <w:rPr>
          <w:lang/>
        </w:rPr>
        <w:t xml:space="preserve">троши се </w:t>
      </w:r>
      <w:r w:rsidR="00910461" w:rsidRPr="00D52A15">
        <w:rPr>
          <w:lang/>
        </w:rPr>
        <w:t>за</w:t>
      </w:r>
      <w:r w:rsidR="005253A5" w:rsidRPr="00D52A15">
        <w:rPr>
          <w:lang/>
        </w:rPr>
        <w:t xml:space="preserve"> задовољењ</w:t>
      </w:r>
      <w:r w:rsidR="00910461" w:rsidRPr="00D52A15">
        <w:rPr>
          <w:lang/>
        </w:rPr>
        <w:t>е</w:t>
      </w:r>
      <w:r w:rsidRPr="00D52A15">
        <w:rPr>
          <w:lang/>
        </w:rPr>
        <w:t xml:space="preserve"> топлотних потреба</w:t>
      </w:r>
      <w:r w:rsidR="00C7168F" w:rsidRPr="00D52A15">
        <w:rPr>
          <w:lang/>
        </w:rPr>
        <w:t>.</w:t>
      </w:r>
      <w:r w:rsidRPr="00D52A15">
        <w:rPr>
          <w:lang/>
        </w:rPr>
        <w:t xml:space="preserve"> У структури енергије која се троши за топлотне потребе доминирају фосилна горива, а њихово учешће превазилази 75%</w:t>
      </w:r>
      <w:r w:rsidR="0074688B" w:rsidRPr="00D52A15">
        <w:rPr>
          <w:lang/>
        </w:rPr>
        <w:t>[1]</w:t>
      </w:r>
      <w:r w:rsidRPr="00D52A15">
        <w:rPr>
          <w:sz w:val="20"/>
          <w:szCs w:val="20"/>
          <w:lang/>
        </w:rPr>
        <w:t xml:space="preserve">. </w:t>
      </w:r>
      <w:r w:rsidRPr="00D52A15">
        <w:rPr>
          <w:lang/>
        </w:rPr>
        <w:t>Због тога је сектор топлотне енергије препознат као кључан у енергетској транзицији к</w:t>
      </w:r>
      <w:r w:rsidR="005253A5" w:rsidRPr="00D52A15">
        <w:rPr>
          <w:lang/>
        </w:rPr>
        <w:t>а</w:t>
      </w:r>
      <w:r w:rsidRPr="00D52A15">
        <w:rPr>
          <w:lang/>
        </w:rPr>
        <w:t xml:space="preserve"> одрживијим енергетским системима. </w:t>
      </w:r>
    </w:p>
    <w:p w:rsidR="00EB3ABC" w:rsidRPr="00D52A15" w:rsidRDefault="008C1332" w:rsidP="00C24362">
      <w:pPr>
        <w:rPr>
          <w:lang/>
        </w:rPr>
      </w:pPr>
      <w:r w:rsidRPr="00D52A15">
        <w:rPr>
          <w:lang/>
        </w:rPr>
        <w:t>Трансформација енергетских система треба да буде усмерена ка осигурању поузданих и приуштивих енергетских услуга, уз смањен утицај на животну средину и смањену увозну зависност</w:t>
      </w:r>
      <w:r w:rsidR="0074688B" w:rsidRPr="00D52A15">
        <w:rPr>
          <w:lang/>
        </w:rPr>
        <w:t>[2]</w:t>
      </w:r>
      <w:r w:rsidRPr="00D52A15">
        <w:rPr>
          <w:lang/>
        </w:rPr>
        <w:t>. Енергетској транзицији</w:t>
      </w:r>
      <w:r w:rsidR="00C7168F" w:rsidRPr="00D52A15">
        <w:rPr>
          <w:lang/>
        </w:rPr>
        <w:t xml:space="preserve"> система даљинског грејања</w:t>
      </w:r>
      <w:r w:rsidRPr="00D52A15">
        <w:rPr>
          <w:lang/>
        </w:rPr>
        <w:t xml:space="preserve"> се може допринети активностима и мерама и на страни потрошње и страни производње. У ранијем периоду, глобално посматрано, већа пажња је била посвећена </w:t>
      </w:r>
      <w:r w:rsidR="00910461" w:rsidRPr="00D52A15">
        <w:rPr>
          <w:lang/>
        </w:rPr>
        <w:t xml:space="preserve">смањењу </w:t>
      </w:r>
      <w:r w:rsidRPr="00D52A15">
        <w:rPr>
          <w:lang/>
        </w:rPr>
        <w:t>потрошњ</w:t>
      </w:r>
      <w:r w:rsidR="00910461" w:rsidRPr="00D52A15">
        <w:rPr>
          <w:lang/>
        </w:rPr>
        <w:t>е, односно потребне корисне енергије</w:t>
      </w:r>
      <w:r w:rsidRPr="00D52A15">
        <w:rPr>
          <w:lang/>
        </w:rPr>
        <w:t>,највише кр</w:t>
      </w:r>
      <w:r w:rsidR="005253A5" w:rsidRPr="00D52A15">
        <w:rPr>
          <w:lang/>
        </w:rPr>
        <w:t>оз енергетску санацију објеката, док сеу</w:t>
      </w:r>
      <w:r w:rsidRPr="00D52A15">
        <w:rPr>
          <w:lang/>
        </w:rPr>
        <w:t xml:space="preserve"> скорије време, више </w:t>
      </w:r>
      <w:r w:rsidRPr="00D52A15">
        <w:rPr>
          <w:lang/>
        </w:rPr>
        <w:lastRenderedPageBreak/>
        <w:t xml:space="preserve">пажње се усмерава на </w:t>
      </w:r>
      <w:r w:rsidR="00C7168F" w:rsidRPr="00D52A15">
        <w:rPr>
          <w:lang/>
        </w:rPr>
        <w:t xml:space="preserve">трансформацију начина </w:t>
      </w:r>
      <w:r w:rsidRPr="00D52A15">
        <w:rPr>
          <w:lang/>
        </w:rPr>
        <w:t>производњ</w:t>
      </w:r>
      <w:r w:rsidR="00C7168F" w:rsidRPr="00D52A15">
        <w:rPr>
          <w:lang/>
        </w:rPr>
        <w:t>е</w:t>
      </w:r>
      <w:r w:rsidRPr="00D52A15">
        <w:rPr>
          <w:lang/>
        </w:rPr>
        <w:t xml:space="preserve"> топлотне енергије</w:t>
      </w:r>
      <w:r w:rsidR="00D52A15" w:rsidRPr="00D52A15">
        <w:rPr>
          <w:lang/>
        </w:rPr>
        <w:t>[</w:t>
      </w:r>
      <w:r w:rsidR="00D52A15">
        <w:rPr>
          <w:lang w:val="en-US"/>
        </w:rPr>
        <w:t>3</w:t>
      </w:r>
      <w:r w:rsidR="00D52A15" w:rsidRPr="00D52A15">
        <w:rPr>
          <w:lang/>
        </w:rPr>
        <w:t xml:space="preserve">]. </w:t>
      </w:r>
      <w:r w:rsidR="00C7168F" w:rsidRPr="00D52A15">
        <w:rPr>
          <w:lang/>
        </w:rPr>
        <w:t>Одговарајуће а</w:t>
      </w:r>
      <w:r w:rsidRPr="00D52A15">
        <w:rPr>
          <w:lang/>
        </w:rPr>
        <w:t xml:space="preserve">ктивности </w:t>
      </w:r>
      <w:r w:rsidR="00910461" w:rsidRPr="00D52A15">
        <w:rPr>
          <w:lang/>
        </w:rPr>
        <w:t xml:space="preserve">на страни производње </w:t>
      </w:r>
      <w:r w:rsidR="005253A5" w:rsidRPr="00D52A15">
        <w:rPr>
          <w:lang/>
        </w:rPr>
        <w:t xml:space="preserve">треба да </w:t>
      </w:r>
      <w:r w:rsidRPr="00D52A15">
        <w:rPr>
          <w:lang/>
        </w:rPr>
        <w:t xml:space="preserve">буду усмерене ка декарбонизацији кроз коришћење обновљивих извора енергије или увођењем ефикаснијих метода за </w:t>
      </w:r>
      <w:r w:rsidR="002311CB" w:rsidRPr="00D52A15">
        <w:rPr>
          <w:lang/>
        </w:rPr>
        <w:t>искоришћење енергије.</w:t>
      </w:r>
      <w:r w:rsidR="00D84BB6" w:rsidRPr="00D52A15">
        <w:rPr>
          <w:lang/>
        </w:rPr>
        <w:t xml:space="preserve"> Очекивани ефекти транзиције система даљинског грејања</w:t>
      </w:r>
      <w:r w:rsidR="00910461" w:rsidRPr="00D52A15">
        <w:rPr>
          <w:lang/>
        </w:rPr>
        <w:t xml:space="preserve"> (СДГ)</w:t>
      </w:r>
      <w:r w:rsidR="00D84BB6" w:rsidRPr="00D52A15">
        <w:rPr>
          <w:lang/>
        </w:rPr>
        <w:t xml:space="preserve"> имаће огроман позитиван утицај н</w:t>
      </w:r>
      <w:r w:rsidR="00910461" w:rsidRPr="00D52A15">
        <w:rPr>
          <w:lang/>
        </w:rPr>
        <w:t>а</w:t>
      </w:r>
      <w:r w:rsidR="00D84BB6" w:rsidRPr="00D52A15">
        <w:rPr>
          <w:lang/>
        </w:rPr>
        <w:t xml:space="preserve"> трансформацију целокупног енергетског сектора. Ипак, посматрано са нивоа система даљинског грејања</w:t>
      </w:r>
      <w:r w:rsidR="00910461" w:rsidRPr="00D52A15">
        <w:rPr>
          <w:lang/>
        </w:rPr>
        <w:t xml:space="preserve">, </w:t>
      </w:r>
      <w:r w:rsidR="00D84BB6" w:rsidRPr="00D52A15">
        <w:rPr>
          <w:lang/>
        </w:rPr>
        <w:t>и</w:t>
      </w:r>
      <w:r w:rsidR="00910461" w:rsidRPr="00D52A15">
        <w:rPr>
          <w:lang/>
        </w:rPr>
        <w:t>ли позиције</w:t>
      </w:r>
      <w:r w:rsidR="00D84BB6" w:rsidRPr="00D52A15">
        <w:rPr>
          <w:lang/>
        </w:rPr>
        <w:t xml:space="preserve"> крајњег потрошача, процес транзиције може да доведе до </w:t>
      </w:r>
      <w:r w:rsidR="00910461" w:rsidRPr="00D52A15">
        <w:rPr>
          <w:lang/>
        </w:rPr>
        <w:t xml:space="preserve">неких </w:t>
      </w:r>
      <w:r w:rsidR="00D84BB6" w:rsidRPr="00D52A15">
        <w:rPr>
          <w:lang/>
        </w:rPr>
        <w:t xml:space="preserve">нежељених </w:t>
      </w:r>
      <w:r w:rsidR="00EB3ABC" w:rsidRPr="00D52A15">
        <w:rPr>
          <w:lang/>
        </w:rPr>
        <w:t>последица</w:t>
      </w:r>
      <w:r w:rsidR="00D84BB6" w:rsidRPr="00D52A15">
        <w:rPr>
          <w:lang/>
        </w:rPr>
        <w:t xml:space="preserve"> и због тога се мора пажљиво планирати.</w:t>
      </w:r>
    </w:p>
    <w:p w:rsidR="0025495C" w:rsidRPr="00D52A15" w:rsidRDefault="00C9122F" w:rsidP="00C24362">
      <w:pPr>
        <w:rPr>
          <w:lang/>
        </w:rPr>
      </w:pPr>
      <w:r w:rsidRPr="00D52A15">
        <w:rPr>
          <w:lang/>
        </w:rPr>
        <w:t>Упркос очекиваним</w:t>
      </w:r>
      <w:r w:rsidR="00C7168F" w:rsidRPr="00D52A15">
        <w:rPr>
          <w:lang/>
        </w:rPr>
        <w:t xml:space="preserve"> бројним</w:t>
      </w:r>
      <w:r w:rsidR="005253A5" w:rsidRPr="00D52A15">
        <w:rPr>
          <w:lang/>
        </w:rPr>
        <w:t>користима</w:t>
      </w:r>
      <w:r w:rsidR="00C7168F" w:rsidRPr="00D52A15">
        <w:rPr>
          <w:lang/>
        </w:rPr>
        <w:t xml:space="preserve"> и позитивним исходима</w:t>
      </w:r>
      <w:r w:rsidR="00910461" w:rsidRPr="00D52A15">
        <w:rPr>
          <w:lang/>
        </w:rPr>
        <w:t xml:space="preserve"> који се идентификују у ширем енергетском систему</w:t>
      </w:r>
      <w:r w:rsidR="00EC75C8" w:rsidRPr="00D52A15">
        <w:rPr>
          <w:lang/>
        </w:rPr>
        <w:t xml:space="preserve">, </w:t>
      </w:r>
      <w:r w:rsidR="0025495C" w:rsidRPr="00D52A15">
        <w:rPr>
          <w:lang/>
        </w:rPr>
        <w:t xml:space="preserve">пракса показује да се </w:t>
      </w:r>
      <w:r w:rsidR="005253A5" w:rsidRPr="00D52A15">
        <w:rPr>
          <w:lang/>
        </w:rPr>
        <w:t>многи</w:t>
      </w:r>
      <w:r w:rsidR="00910461" w:rsidRPr="00D52A15">
        <w:rPr>
          <w:lang/>
        </w:rPr>
        <w:t xml:space="preserve"> европски</w:t>
      </w:r>
      <w:r w:rsidR="005253A5" w:rsidRPr="00D52A15">
        <w:rPr>
          <w:lang/>
        </w:rPr>
        <w:t xml:space="preserve"> системи даљинског грејања</w:t>
      </w:r>
      <w:r w:rsidR="00910461" w:rsidRPr="00D52A15">
        <w:rPr>
          <w:lang/>
        </w:rPr>
        <w:t xml:space="preserve"> који су </w:t>
      </w:r>
      <w:r w:rsidR="00855C08">
        <w:rPr>
          <w:lang/>
        </w:rPr>
        <w:t xml:space="preserve">у </w:t>
      </w:r>
      <w:r w:rsidR="00910461" w:rsidRPr="00D52A15">
        <w:rPr>
          <w:lang/>
        </w:rPr>
        <w:t>процесу транзиције</w:t>
      </w:r>
      <w:r w:rsidR="005253A5" w:rsidRPr="00D52A15">
        <w:rPr>
          <w:lang/>
        </w:rPr>
        <w:t xml:space="preserve"> сус</w:t>
      </w:r>
      <w:r w:rsidR="00EC75C8" w:rsidRPr="00D52A15">
        <w:rPr>
          <w:lang/>
        </w:rPr>
        <w:t>р</w:t>
      </w:r>
      <w:r w:rsidR="005253A5" w:rsidRPr="00D52A15">
        <w:rPr>
          <w:lang/>
        </w:rPr>
        <w:t xml:space="preserve">ећу са </w:t>
      </w:r>
      <w:r w:rsidR="00EC75C8" w:rsidRPr="00D52A15">
        <w:rPr>
          <w:lang/>
        </w:rPr>
        <w:t xml:space="preserve">неочекиваним </w:t>
      </w:r>
      <w:r w:rsidR="005253A5" w:rsidRPr="00D52A15">
        <w:rPr>
          <w:lang/>
        </w:rPr>
        <w:t>изазовима</w:t>
      </w:r>
      <w:r w:rsidR="00855C08" w:rsidRPr="00D52A15">
        <w:rPr>
          <w:lang/>
        </w:rPr>
        <w:t>[</w:t>
      </w:r>
      <w:r w:rsidR="000A0B8C">
        <w:rPr>
          <w:lang w:val="en-US"/>
        </w:rPr>
        <w:t>1</w:t>
      </w:r>
      <w:r w:rsidR="00855C08" w:rsidRPr="00D52A15">
        <w:rPr>
          <w:lang/>
        </w:rPr>
        <w:t>].</w:t>
      </w:r>
      <w:r w:rsidR="005253A5" w:rsidRPr="00D52A15">
        <w:rPr>
          <w:lang/>
        </w:rPr>
        <w:t xml:space="preserve"> Унапређење енергетске ефикасности у зградама смањује потребу за топлотном енергијом. То је позитиван исход за енергетски систем у целини, али може имати негативан утицај на пословање компаније која продаје топлотну енергију.</w:t>
      </w:r>
      <w:r w:rsidR="00EC75C8" w:rsidRPr="00D52A15">
        <w:rPr>
          <w:lang/>
        </w:rPr>
        <w:t xml:space="preserve"> То даље може да утиче на вољу</w:t>
      </w:r>
      <w:r w:rsidR="0025495C" w:rsidRPr="00D52A15">
        <w:rPr>
          <w:lang/>
        </w:rPr>
        <w:t xml:space="preserve"> компанија</w:t>
      </w:r>
      <w:r w:rsidR="00EC75C8" w:rsidRPr="00D52A15">
        <w:rPr>
          <w:lang/>
        </w:rPr>
        <w:t xml:space="preserve"> за инвестирање у чистије изворе и ефикасније начине производње</w:t>
      </w:r>
      <w:r w:rsidR="00910461" w:rsidRPr="00D52A15">
        <w:rPr>
          <w:lang/>
        </w:rPr>
        <w:t>, чиме се даљи прогрес доводи у питање.</w:t>
      </w:r>
    </w:p>
    <w:p w:rsidR="00B11CD2" w:rsidRPr="00D52A15" w:rsidRDefault="0025495C" w:rsidP="00C24362">
      <w:pPr>
        <w:rPr>
          <w:lang/>
        </w:rPr>
      </w:pPr>
      <w:r w:rsidRPr="00D52A15">
        <w:rPr>
          <w:lang/>
        </w:rPr>
        <w:t xml:space="preserve">У околностима </w:t>
      </w:r>
      <w:r w:rsidR="00EB3ABC" w:rsidRPr="00D52A15">
        <w:rPr>
          <w:lang/>
        </w:rPr>
        <w:t xml:space="preserve">значајног повећања производње електричне енергије из обновљивих извора енергије, </w:t>
      </w:r>
      <w:r w:rsidRPr="00D52A15">
        <w:rPr>
          <w:lang/>
        </w:rPr>
        <w:t xml:space="preserve">јавља се потреба </w:t>
      </w:r>
      <w:r w:rsidR="00D84BB6" w:rsidRPr="00D52A15">
        <w:rPr>
          <w:lang/>
        </w:rPr>
        <w:t>повезивањем</w:t>
      </w:r>
      <w:r w:rsidRPr="00D52A15">
        <w:rPr>
          <w:lang/>
        </w:rPr>
        <w:t xml:space="preserve"> (</w:t>
      </w:r>
      <w:r w:rsidR="000A211A">
        <w:rPr>
          <w:lang/>
        </w:rPr>
        <w:t xml:space="preserve">енгл. </w:t>
      </w:r>
      <w:r w:rsidRPr="000A211A">
        <w:t>coupling</w:t>
      </w:r>
      <w:r w:rsidRPr="00D52A15">
        <w:rPr>
          <w:lang/>
        </w:rPr>
        <w:t>) развој</w:t>
      </w:r>
      <w:r w:rsidR="00910461" w:rsidRPr="00D52A15">
        <w:rPr>
          <w:lang/>
        </w:rPr>
        <w:t>а</w:t>
      </w:r>
      <w:r w:rsidRPr="00D52A15">
        <w:rPr>
          <w:lang/>
        </w:rPr>
        <w:t xml:space="preserve"> сектора топлотне и електричне енергије</w:t>
      </w:r>
      <w:r w:rsidR="00EB3ABC" w:rsidRPr="00D52A15">
        <w:rPr>
          <w:lang/>
        </w:rPr>
        <w:t>,</w:t>
      </w:r>
      <w:r w:rsidR="00910461" w:rsidRPr="00D52A15">
        <w:rPr>
          <w:lang/>
        </w:rPr>
        <w:t xml:space="preserve">што се остварује </w:t>
      </w:r>
      <w:r w:rsidRPr="00D52A15">
        <w:rPr>
          <w:lang/>
        </w:rPr>
        <w:t>кроз комбиновану производњу електричне и топлотне енергије</w:t>
      </w:r>
      <w:r w:rsidR="00910461" w:rsidRPr="00D52A15">
        <w:rPr>
          <w:lang/>
        </w:rPr>
        <w:t>,</w:t>
      </w:r>
      <w:r w:rsidR="00EB3ABC" w:rsidRPr="00D52A15">
        <w:rPr>
          <w:lang/>
        </w:rPr>
        <w:t xml:space="preserve"> као</w:t>
      </w:r>
      <w:r w:rsidR="00910461" w:rsidRPr="00D52A15">
        <w:rPr>
          <w:lang/>
        </w:rPr>
        <w:t xml:space="preserve"> и производњу топлотне енергије</w:t>
      </w:r>
      <w:r w:rsidRPr="00D52A15">
        <w:rPr>
          <w:lang/>
        </w:rPr>
        <w:t xml:space="preserve"> коришћење</w:t>
      </w:r>
      <w:r w:rsidR="00C7168F" w:rsidRPr="00D52A15">
        <w:rPr>
          <w:lang/>
        </w:rPr>
        <w:t>м</w:t>
      </w:r>
      <w:r w:rsidRPr="00D52A15">
        <w:rPr>
          <w:lang/>
        </w:rPr>
        <w:t xml:space="preserve"> великих топлотних пумпи. У добро интегрисаном енергетском систему</w:t>
      </w:r>
      <w:r w:rsidR="00C7168F" w:rsidRPr="00D52A15">
        <w:rPr>
          <w:lang/>
        </w:rPr>
        <w:t>,</w:t>
      </w:r>
      <w:r w:rsidR="00B11CD2" w:rsidRPr="00D52A15">
        <w:rPr>
          <w:lang/>
        </w:rPr>
        <w:t>системи даљинског грејања могу да реагују на промене цена електричне енергије и помогну балансирању већом производњом или већом потрошњом електричне енергије.</w:t>
      </w:r>
    </w:p>
    <w:p w:rsidR="00A67C2A" w:rsidRPr="00D52A15" w:rsidRDefault="00B11CD2" w:rsidP="00C24362">
      <w:pPr>
        <w:rPr>
          <w:lang/>
        </w:rPr>
      </w:pPr>
      <w:r w:rsidRPr="00D52A15">
        <w:rPr>
          <w:lang/>
        </w:rPr>
        <w:t>Додатни и кључни изазов</w:t>
      </w:r>
      <w:r w:rsidR="00C9122F" w:rsidRPr="00D52A15">
        <w:rPr>
          <w:lang/>
        </w:rPr>
        <w:t>, који је и основни предуслов успешне транзиције</w:t>
      </w:r>
      <w:r w:rsidR="00855C08">
        <w:rPr>
          <w:lang/>
        </w:rPr>
        <w:t>СДГ</w:t>
      </w:r>
      <w:r w:rsidR="00C9122F" w:rsidRPr="00D52A15">
        <w:rPr>
          <w:lang/>
        </w:rPr>
        <w:t>, је</w:t>
      </w:r>
      <w:r w:rsidR="00EB3ABC" w:rsidRPr="00D52A15">
        <w:rPr>
          <w:lang/>
        </w:rPr>
        <w:t>сте</w:t>
      </w:r>
      <w:r w:rsidR="00C9122F" w:rsidRPr="00D52A15">
        <w:rPr>
          <w:lang/>
        </w:rPr>
        <w:t xml:space="preserve"> да топлотна енергија буде приуштива за </w:t>
      </w:r>
      <w:r w:rsidR="00EB3ABC" w:rsidRPr="00D52A15">
        <w:rPr>
          <w:lang/>
        </w:rPr>
        <w:t>потрошаче</w:t>
      </w:r>
      <w:r w:rsidR="00C9122F" w:rsidRPr="00D52A15">
        <w:rPr>
          <w:lang/>
        </w:rPr>
        <w:t>. Често се појам транзиције иницијално везује за декарбонизацију, што је само део жељеног циља. Декарбонизација треба да буде праћена ценама</w:t>
      </w:r>
      <w:r w:rsidR="00EB3ABC" w:rsidRPr="00D52A15">
        <w:rPr>
          <w:lang/>
        </w:rPr>
        <w:t xml:space="preserve"> енергије приуштивим</w:t>
      </w:r>
      <w:r w:rsidR="00C9122F" w:rsidRPr="00D52A15">
        <w:rPr>
          <w:lang/>
        </w:rPr>
        <w:t xml:space="preserve"> за кориснике, смањењем рањивости система</w:t>
      </w:r>
      <w:r w:rsidR="00EB3ABC" w:rsidRPr="00D52A15">
        <w:rPr>
          <w:lang/>
        </w:rPr>
        <w:t xml:space="preserve"> кроз</w:t>
      </w:r>
      <w:r w:rsidR="00C9122F" w:rsidRPr="00D52A15">
        <w:rPr>
          <w:lang/>
        </w:rPr>
        <w:t xml:space="preserve"> смањење увозне зависности</w:t>
      </w:r>
      <w:r w:rsidR="00C7168F" w:rsidRPr="00D52A15">
        <w:rPr>
          <w:lang/>
        </w:rPr>
        <w:t xml:space="preserve"> и</w:t>
      </w:r>
      <w:r w:rsidR="00EB3ABC" w:rsidRPr="00D52A15">
        <w:rPr>
          <w:lang/>
        </w:rPr>
        <w:t xml:space="preserve">већу </w:t>
      </w:r>
      <w:r w:rsidR="0073679A" w:rsidRPr="00D52A15">
        <w:rPr>
          <w:lang/>
        </w:rPr>
        <w:t>диверсификациј</w:t>
      </w:r>
      <w:r w:rsidR="00EB3ABC" w:rsidRPr="00D52A15">
        <w:rPr>
          <w:lang/>
        </w:rPr>
        <w:t>у</w:t>
      </w:r>
      <w:r w:rsidR="0073679A" w:rsidRPr="00D52A15">
        <w:rPr>
          <w:lang/>
        </w:rPr>
        <w:t xml:space="preserve"> извора снабдевања.</w:t>
      </w:r>
    </w:p>
    <w:p w:rsidR="00C7168F" w:rsidRPr="00AF5E05" w:rsidRDefault="00C9122F" w:rsidP="00C24362">
      <w:pPr>
        <w:rPr>
          <w:lang w:val="en-US"/>
        </w:rPr>
      </w:pPr>
      <w:r w:rsidRPr="00D52A15">
        <w:rPr>
          <w:lang/>
        </w:rPr>
        <w:t>Системи даљинског грејања у Србији налазе се на почетку пута енергетске транзиције</w:t>
      </w:r>
      <w:r w:rsidR="0073679A" w:rsidRPr="00D52A15">
        <w:rPr>
          <w:lang/>
        </w:rPr>
        <w:t xml:space="preserve">. </w:t>
      </w:r>
      <w:r w:rsidR="00C7168F" w:rsidRPr="00D52A15">
        <w:rPr>
          <w:lang/>
        </w:rPr>
        <w:t>Пракса показује да</w:t>
      </w:r>
      <w:r w:rsidR="0073679A" w:rsidRPr="00D52A15">
        <w:rPr>
          <w:lang/>
        </w:rPr>
        <w:t xml:space="preserve"> је крајњи циљ нај</w:t>
      </w:r>
      <w:r w:rsidR="00855C08">
        <w:rPr>
          <w:lang/>
        </w:rPr>
        <w:t>ч</w:t>
      </w:r>
      <w:r w:rsidR="0073679A" w:rsidRPr="00D52A15">
        <w:rPr>
          <w:lang/>
        </w:rPr>
        <w:t>ешће одређ</w:t>
      </w:r>
      <w:r w:rsidR="00910461" w:rsidRPr="00D52A15">
        <w:rPr>
          <w:lang/>
        </w:rPr>
        <w:t>иван</w:t>
      </w:r>
      <w:r w:rsidR="0073679A" w:rsidRPr="00D52A15">
        <w:rPr>
          <w:lang/>
        </w:rPr>
        <w:t xml:space="preserve"> по</w:t>
      </w:r>
      <w:r w:rsidR="00C7168F" w:rsidRPr="00D52A15">
        <w:rPr>
          <w:lang/>
        </w:rPr>
        <w:t>т</w:t>
      </w:r>
      <w:r w:rsidR="0073679A" w:rsidRPr="00D52A15">
        <w:rPr>
          <w:lang/>
        </w:rPr>
        <w:t>ребом за смањењем емисије гасова стаклене баште у одређеном проценту,</w:t>
      </w:r>
      <w:r w:rsidR="00910461" w:rsidRPr="00D52A15">
        <w:rPr>
          <w:lang/>
        </w:rPr>
        <w:t xml:space="preserve"> док</w:t>
      </w:r>
      <w:r w:rsidR="0073679A" w:rsidRPr="00D52A15">
        <w:rPr>
          <w:lang/>
        </w:rPr>
        <w:t xml:space="preserve"> путеви до циља могу бити различити. Одабир оптималног пута није једноставан и треба да буде извршен уз пажљиву анализу могућих препрека.</w:t>
      </w:r>
      <w:r w:rsidR="00C7168F" w:rsidRPr="00D52A15">
        <w:rPr>
          <w:lang/>
        </w:rPr>
        <w:t xml:space="preserve"> Начин промене енергетског микса који се користи за производњу топлотне енергије одређен је пре свега расположивим обновљивим и алтернативном изворима у свакој од локалних заједница у којима постоје системи даљинског грејања. У случају СДГ у Србији, подаци о потенцијалима неких енергетских извора не постоје или постоје на нивоу </w:t>
      </w:r>
      <w:r w:rsidR="007F0B2D" w:rsidRPr="00D52A15">
        <w:rPr>
          <w:lang/>
        </w:rPr>
        <w:t xml:space="preserve">грубе процене </w:t>
      </w:r>
      <w:r w:rsidR="00C7168F" w:rsidRPr="00D52A15">
        <w:rPr>
          <w:lang/>
        </w:rPr>
        <w:t xml:space="preserve">теоретског </w:t>
      </w:r>
      <w:r w:rsidR="009613F4" w:rsidRPr="00D52A15">
        <w:rPr>
          <w:lang/>
        </w:rPr>
        <w:t xml:space="preserve">или техничког </w:t>
      </w:r>
      <w:r w:rsidR="00C7168F" w:rsidRPr="00D52A15">
        <w:rPr>
          <w:lang/>
        </w:rPr>
        <w:t xml:space="preserve">потенцијала. </w:t>
      </w:r>
    </w:p>
    <w:p w:rsidR="00765EFD" w:rsidRPr="00D52A15" w:rsidRDefault="00765EFD" w:rsidP="00C24362">
      <w:pPr>
        <w:rPr>
          <w:lang/>
        </w:rPr>
      </w:pPr>
      <w:r w:rsidRPr="00D52A15">
        <w:rPr>
          <w:lang/>
        </w:rPr>
        <w:t xml:space="preserve">У раду </w:t>
      </w:r>
      <w:r w:rsidR="00C7168F" w:rsidRPr="00D52A15">
        <w:rPr>
          <w:lang/>
        </w:rPr>
        <w:t>је</w:t>
      </w:r>
      <w:r w:rsidRPr="00D52A15">
        <w:rPr>
          <w:lang/>
        </w:rPr>
        <w:t xml:space="preserve"> приказан</w:t>
      </w:r>
      <w:r w:rsidR="00C7168F" w:rsidRPr="00D52A15">
        <w:rPr>
          <w:lang/>
        </w:rPr>
        <w:t>а процена</w:t>
      </w:r>
      <w:r w:rsidR="004427A0" w:rsidRPr="00D52A15">
        <w:rPr>
          <w:lang/>
        </w:rPr>
        <w:t xml:space="preserve"> расположивог</w:t>
      </w:r>
      <w:r w:rsidRPr="00D52A15">
        <w:rPr>
          <w:lang/>
        </w:rPr>
        <w:t xml:space="preserve"> техничк</w:t>
      </w:r>
      <w:r w:rsidR="00C7168F" w:rsidRPr="00D52A15">
        <w:rPr>
          <w:lang/>
        </w:rPr>
        <w:t>ог</w:t>
      </w:r>
      <w:r w:rsidRPr="00D52A15">
        <w:rPr>
          <w:lang/>
        </w:rPr>
        <w:t xml:space="preserve"> потенцијал</w:t>
      </w:r>
      <w:r w:rsidR="00C7168F" w:rsidRPr="00D52A15">
        <w:rPr>
          <w:lang/>
        </w:rPr>
        <w:t>а</w:t>
      </w:r>
      <w:r w:rsidRPr="00D52A15">
        <w:rPr>
          <w:lang/>
        </w:rPr>
        <w:t xml:space="preserve"> обновљивих извора енергије, отпадне топлоте</w:t>
      </w:r>
      <w:r w:rsidR="004427A0" w:rsidRPr="00D52A15">
        <w:rPr>
          <w:lang/>
        </w:rPr>
        <w:t xml:space="preserve"> из индустрије</w:t>
      </w:r>
      <w:r w:rsidRPr="00D52A15">
        <w:rPr>
          <w:lang/>
        </w:rPr>
        <w:t xml:space="preserve">, </w:t>
      </w:r>
      <w:r w:rsidR="004427A0" w:rsidRPr="00D52A15">
        <w:rPr>
          <w:lang/>
        </w:rPr>
        <w:t xml:space="preserve">топлоте пречишћених отпадних вода, као и потенцијал за увођење </w:t>
      </w:r>
      <w:r w:rsidRPr="00D52A15">
        <w:rPr>
          <w:lang/>
        </w:rPr>
        <w:t>високо ефикасне</w:t>
      </w:r>
      <w:r w:rsidR="0073679A" w:rsidRPr="00D52A15">
        <w:rPr>
          <w:lang/>
        </w:rPr>
        <w:t xml:space="preserve"> когенерације</w:t>
      </w:r>
      <w:r w:rsidR="004427A0" w:rsidRPr="00D52A15">
        <w:rPr>
          <w:lang/>
        </w:rPr>
        <w:t xml:space="preserve"> у СДГ</w:t>
      </w:r>
      <w:r w:rsidR="0073679A" w:rsidRPr="00D52A15">
        <w:rPr>
          <w:lang/>
        </w:rPr>
        <w:t xml:space="preserve">. </w:t>
      </w:r>
      <w:r w:rsidR="004427A0" w:rsidRPr="00D52A15">
        <w:rPr>
          <w:lang/>
        </w:rPr>
        <w:t xml:space="preserve">Циљ </w:t>
      </w:r>
      <w:r w:rsidR="008657CA" w:rsidRPr="00D52A15">
        <w:rPr>
          <w:lang/>
        </w:rPr>
        <w:t xml:space="preserve">рада </w:t>
      </w:r>
      <w:r w:rsidR="004427A0" w:rsidRPr="00D52A15">
        <w:rPr>
          <w:lang/>
        </w:rPr>
        <w:t xml:space="preserve">је да помогне што </w:t>
      </w:r>
      <w:r w:rsidR="00AA1DD4" w:rsidRPr="00D52A15">
        <w:rPr>
          <w:lang/>
        </w:rPr>
        <w:t>реалнијем</w:t>
      </w:r>
      <w:r w:rsidR="004427A0" w:rsidRPr="00D52A15">
        <w:rPr>
          <w:lang/>
        </w:rPr>
        <w:t xml:space="preserve"> сагледавању могућности трансформације сваког СДГ у Србији.</w:t>
      </w:r>
    </w:p>
    <w:p w:rsidR="00935378" w:rsidRPr="00D52A15" w:rsidRDefault="00935378" w:rsidP="00C24362">
      <w:pPr>
        <w:rPr>
          <w:lang/>
        </w:rPr>
      </w:pPr>
    </w:p>
    <w:p w:rsidR="00F50FED" w:rsidRPr="00B85BF3" w:rsidRDefault="00F50FED" w:rsidP="00C24362">
      <w:pPr>
        <w:rPr>
          <w:b/>
          <w:bCs/>
          <w:lang/>
        </w:rPr>
      </w:pPr>
      <w:r w:rsidRPr="00B85BF3">
        <w:rPr>
          <w:b/>
          <w:bCs/>
          <w:lang/>
        </w:rPr>
        <w:t xml:space="preserve">2 </w:t>
      </w:r>
      <w:r w:rsidR="00DC5D1D" w:rsidRPr="00B85BF3">
        <w:rPr>
          <w:b/>
          <w:bCs/>
          <w:lang/>
        </w:rPr>
        <w:t>МАТЕРИЈАЛИ И МЕТОДЕ</w:t>
      </w:r>
    </w:p>
    <w:p w:rsidR="00F50FED" w:rsidRPr="00D52A15" w:rsidRDefault="00F50FED" w:rsidP="00C24362">
      <w:pPr>
        <w:rPr>
          <w:lang/>
        </w:rPr>
      </w:pPr>
    </w:p>
    <w:p w:rsidR="000A27AF" w:rsidRPr="00D52A15" w:rsidRDefault="00DE227E" w:rsidP="00C24362">
      <w:pPr>
        <w:rPr>
          <w:lang/>
        </w:rPr>
      </w:pPr>
      <w:r w:rsidRPr="00D52A15">
        <w:rPr>
          <w:lang/>
        </w:rPr>
        <w:t>2.1 Преглед тренутног стања</w:t>
      </w:r>
    </w:p>
    <w:p w:rsidR="00DE227E" w:rsidRPr="00D52A15" w:rsidRDefault="00DE227E" w:rsidP="00C24362">
      <w:pPr>
        <w:rPr>
          <w:lang/>
        </w:rPr>
      </w:pPr>
    </w:p>
    <w:p w:rsidR="00F50FED" w:rsidRPr="00AF5E05" w:rsidRDefault="008657CA" w:rsidP="00C24362">
      <w:pPr>
        <w:rPr>
          <w:sz w:val="20"/>
          <w:szCs w:val="20"/>
          <w:lang/>
        </w:rPr>
      </w:pPr>
      <w:r w:rsidRPr="00D52A15">
        <w:rPr>
          <w:lang/>
        </w:rPr>
        <w:t>О значају сектора топлотне енергије у енергетском систему Србије говори чињеница да п</w:t>
      </w:r>
      <w:r w:rsidR="000A27AF" w:rsidRPr="00D52A15">
        <w:rPr>
          <w:lang/>
        </w:rPr>
        <w:t xml:space="preserve">отрошња енергије у зградама у Србији (домаћинства, јавни и комерцијални сектор) чини </w:t>
      </w:r>
      <w:r w:rsidR="000A27AF" w:rsidRPr="00D52A15">
        <w:rPr>
          <w:lang/>
        </w:rPr>
        <w:lastRenderedPageBreak/>
        <w:t>45</w:t>
      </w:r>
      <w:r w:rsidR="00AA1DD4" w:rsidRPr="00D52A15">
        <w:rPr>
          <w:lang/>
        </w:rPr>
        <w:t>,</w:t>
      </w:r>
      <w:r w:rsidR="000A27AF" w:rsidRPr="00D52A15">
        <w:rPr>
          <w:lang/>
        </w:rPr>
        <w:t>45% финалне потрошње енергије</w:t>
      </w:r>
      <w:r w:rsidR="00AF5E05" w:rsidRPr="00D52A15">
        <w:rPr>
          <w:lang/>
        </w:rPr>
        <w:t>[</w:t>
      </w:r>
      <w:r w:rsidR="000A0B8C">
        <w:rPr>
          <w:lang w:val="en-US"/>
        </w:rPr>
        <w:t>4</w:t>
      </w:r>
      <w:r w:rsidR="00AF5E05" w:rsidRPr="00D52A15">
        <w:rPr>
          <w:lang/>
        </w:rPr>
        <w:t>]</w:t>
      </w:r>
      <w:r w:rsidR="000A27AF" w:rsidRPr="00D52A15">
        <w:rPr>
          <w:sz w:val="20"/>
          <w:szCs w:val="20"/>
          <w:lang/>
        </w:rPr>
        <w:t xml:space="preserve">. </w:t>
      </w:r>
      <w:r w:rsidR="000A27AF" w:rsidRPr="00D52A15">
        <w:rPr>
          <w:lang/>
        </w:rPr>
        <w:t>Највише енергије која се троши у зградама се односи на грејање простора и чини око 60%</w:t>
      </w:r>
      <w:r w:rsidR="00AF5E05" w:rsidRPr="00D52A15">
        <w:rPr>
          <w:lang/>
        </w:rPr>
        <w:t>[</w:t>
      </w:r>
      <w:r w:rsidR="000A0B8C">
        <w:rPr>
          <w:lang w:val="en-US"/>
        </w:rPr>
        <w:t>5</w:t>
      </w:r>
      <w:r w:rsidR="00AF5E05" w:rsidRPr="00D52A15">
        <w:rPr>
          <w:lang/>
        </w:rPr>
        <w:t>]</w:t>
      </w:r>
      <w:r w:rsidR="00AF5E05" w:rsidRPr="00D52A15">
        <w:rPr>
          <w:sz w:val="20"/>
          <w:szCs w:val="20"/>
          <w:lang/>
        </w:rPr>
        <w:t>.</w:t>
      </w:r>
      <w:r w:rsidR="000A27AF" w:rsidRPr="00D52A15">
        <w:rPr>
          <w:lang/>
        </w:rPr>
        <w:t>Од укупног броја домаћинстава у Србији око 20% је прикључено на сист</w:t>
      </w:r>
      <w:r w:rsidR="008911EA" w:rsidRPr="00D52A15">
        <w:rPr>
          <w:lang/>
        </w:rPr>
        <w:t xml:space="preserve">еме даљинског грејања, односно </w:t>
      </w:r>
      <w:r w:rsidR="000A27AF" w:rsidRPr="00D52A15">
        <w:rPr>
          <w:lang/>
        </w:rPr>
        <w:t xml:space="preserve">у просеку 43,8% </w:t>
      </w:r>
      <w:r w:rsidR="00AA1DD4" w:rsidRPr="00D52A15">
        <w:rPr>
          <w:lang/>
        </w:rPr>
        <w:t>домаћинстава</w:t>
      </w:r>
      <w:r w:rsidR="000A27AF" w:rsidRPr="00D52A15">
        <w:rPr>
          <w:lang/>
        </w:rPr>
        <w:t xml:space="preserve"> у градовима</w:t>
      </w:r>
      <w:r w:rsidR="00AF5E05" w:rsidRPr="00D52A15">
        <w:rPr>
          <w:lang/>
        </w:rPr>
        <w:t>[</w:t>
      </w:r>
      <w:r w:rsidR="000A0B8C">
        <w:rPr>
          <w:lang w:val="en-US"/>
        </w:rPr>
        <w:t>6</w:t>
      </w:r>
      <w:r w:rsidR="00AF5E05">
        <w:rPr>
          <w:lang w:val="en-US"/>
        </w:rPr>
        <w:t xml:space="preserve">, </w:t>
      </w:r>
      <w:r w:rsidR="000A0B8C">
        <w:rPr>
          <w:lang w:val="en-US"/>
        </w:rPr>
        <w:t>7</w:t>
      </w:r>
      <w:r w:rsidR="00AF5E05" w:rsidRPr="00D52A15">
        <w:rPr>
          <w:lang/>
        </w:rPr>
        <w:t>]</w:t>
      </w:r>
      <w:r w:rsidR="000A27AF" w:rsidRPr="00D52A15">
        <w:rPr>
          <w:lang/>
        </w:rPr>
        <w:t>. У неким урбаним подручјима</w:t>
      </w:r>
      <w:r w:rsidR="00AA1DD4" w:rsidRPr="00D52A15">
        <w:rPr>
          <w:lang/>
        </w:rPr>
        <w:t>,</w:t>
      </w:r>
      <w:r w:rsidR="000A27AF" w:rsidRPr="00D52A15">
        <w:rPr>
          <w:lang/>
        </w:rPr>
        <w:t xml:space="preserve"> нпр. Нови Београд и Бор, овај проценат износи преко 90%</w:t>
      </w:r>
      <w:r w:rsidR="00AF5E05" w:rsidRPr="00D52A15">
        <w:rPr>
          <w:lang/>
        </w:rPr>
        <w:t>[</w:t>
      </w:r>
      <w:r w:rsidR="000A0B8C">
        <w:rPr>
          <w:lang w:val="en-US"/>
        </w:rPr>
        <w:t>6</w:t>
      </w:r>
      <w:r w:rsidR="00AF5E05" w:rsidRPr="00D52A15">
        <w:rPr>
          <w:lang/>
        </w:rPr>
        <w:t>]</w:t>
      </w:r>
      <w:r w:rsidR="000A27AF" w:rsidRPr="00D52A15">
        <w:rPr>
          <w:sz w:val="20"/>
          <w:szCs w:val="20"/>
          <w:lang/>
        </w:rPr>
        <w:t>.</w:t>
      </w:r>
    </w:p>
    <w:p w:rsidR="005E0B56" w:rsidRPr="00D52A15" w:rsidRDefault="00DE227E" w:rsidP="00C24362">
      <w:pPr>
        <w:rPr>
          <w:lang/>
        </w:rPr>
      </w:pPr>
      <w:r w:rsidRPr="00D52A15">
        <w:rPr>
          <w:lang/>
        </w:rPr>
        <w:t>Тренутно је сва производња топлотне енергије заснована је на процесима сагоревања, од чега око 99% чине фосилна горива, а остатак дрвна биомаса. Доминантно коришћени енергент је природни гас</w:t>
      </w:r>
      <w:r w:rsidR="008911EA" w:rsidRPr="00D52A15">
        <w:rPr>
          <w:lang/>
        </w:rPr>
        <w:t xml:space="preserve">, </w:t>
      </w:r>
      <w:r w:rsidR="00A56BE5" w:rsidRPr="00D52A15">
        <w:rPr>
          <w:lang/>
        </w:rPr>
        <w:t xml:space="preserve">а </w:t>
      </w:r>
      <w:r w:rsidR="008911EA" w:rsidRPr="00D52A15">
        <w:rPr>
          <w:lang/>
        </w:rPr>
        <w:t>затим мазут и угаљ. Само угаљ и огревно дрво се могу сматрати домаћим енергентима. Висока увозна зависност природног гаса и нафте чини и систем даљинског грејања високо увозно зависним (преко 70%). Поред в</w:t>
      </w:r>
      <w:r w:rsidR="008657CA" w:rsidRPr="00D52A15">
        <w:rPr>
          <w:lang/>
        </w:rPr>
        <w:t>и</w:t>
      </w:r>
      <w:r w:rsidR="008911EA" w:rsidRPr="00D52A15">
        <w:rPr>
          <w:lang/>
        </w:rPr>
        <w:t>соке увозне зависности</w:t>
      </w:r>
      <w:r w:rsidR="00A56BE5" w:rsidRPr="00D52A15">
        <w:rPr>
          <w:lang/>
        </w:rPr>
        <w:t>, треба имати у виду и</w:t>
      </w:r>
      <w:r w:rsidR="00AA1DD4" w:rsidRPr="00D52A15">
        <w:rPr>
          <w:lang/>
        </w:rPr>
        <w:t xml:space="preserve">потпуну зависностод </w:t>
      </w:r>
      <w:r w:rsidR="008911EA" w:rsidRPr="00D52A15">
        <w:rPr>
          <w:lang/>
        </w:rPr>
        <w:t>снабдевања природним гасом</w:t>
      </w:r>
      <w:r w:rsidR="00AA1DD4" w:rsidRPr="00D52A15">
        <w:rPr>
          <w:lang/>
        </w:rPr>
        <w:t xml:space="preserve"> из Руске Федерације</w:t>
      </w:r>
      <w:r w:rsidR="008657CA" w:rsidRPr="00D52A15">
        <w:rPr>
          <w:lang/>
        </w:rPr>
        <w:t>.</w:t>
      </w:r>
    </w:p>
    <w:p w:rsidR="005E0B56" w:rsidRPr="00D52A15" w:rsidRDefault="005E0B56" w:rsidP="00C24362">
      <w:pPr>
        <w:rPr>
          <w:lang/>
        </w:rPr>
      </w:pPr>
      <w:r w:rsidRPr="00D52A15">
        <w:rPr>
          <w:lang/>
        </w:rPr>
        <w:t xml:space="preserve">Детаљна анализа могућности трансформације СДГ могућа је једино </w:t>
      </w:r>
      <w:r w:rsidR="00AA1DD4" w:rsidRPr="00D52A15">
        <w:rPr>
          <w:lang/>
        </w:rPr>
        <w:t>уколико</w:t>
      </w:r>
      <w:r w:rsidRPr="00D52A15">
        <w:rPr>
          <w:lang/>
        </w:rPr>
        <w:t xml:space="preserve"> се детаљно и пажљиво сагледа тренутно стање сваког од СДГ у Србији</w:t>
      </w:r>
      <w:r w:rsidR="00A56BE5" w:rsidRPr="00D52A15">
        <w:rPr>
          <w:lang/>
        </w:rPr>
        <w:t>.</w:t>
      </w:r>
      <w:r w:rsidRPr="00D52A15">
        <w:rPr>
          <w:lang/>
        </w:rPr>
        <w:t xml:space="preserve"> Као основа </w:t>
      </w:r>
      <w:r w:rsidR="00A56BE5" w:rsidRPr="00D52A15">
        <w:rPr>
          <w:lang/>
        </w:rPr>
        <w:t xml:space="preserve">анализу </w:t>
      </w:r>
      <w:r w:rsidRPr="00D52A15">
        <w:rPr>
          <w:lang/>
        </w:rPr>
        <w:t>коришћени су подаци објављени у Годишњим извештајима о раду топлана</w:t>
      </w:r>
      <w:r w:rsidR="00AF5E05" w:rsidRPr="00D52A15">
        <w:rPr>
          <w:lang/>
        </w:rPr>
        <w:t>[</w:t>
      </w:r>
      <w:r w:rsidR="000A0B8C">
        <w:rPr>
          <w:lang w:val="en-US"/>
        </w:rPr>
        <w:t>6</w:t>
      </w:r>
      <w:r w:rsidR="00AF5E05" w:rsidRPr="00D52A15">
        <w:rPr>
          <w:lang/>
        </w:rPr>
        <w:t>]</w:t>
      </w:r>
      <w:r w:rsidRPr="00D52A15">
        <w:rPr>
          <w:lang/>
        </w:rPr>
        <w:t>.</w:t>
      </w:r>
    </w:p>
    <w:p w:rsidR="005E0B56" w:rsidRPr="00D52A15" w:rsidRDefault="008657CA" w:rsidP="00C24362">
      <w:pPr>
        <w:rPr>
          <w:lang/>
        </w:rPr>
      </w:pPr>
      <w:r w:rsidRPr="00D52A15">
        <w:rPr>
          <w:lang/>
        </w:rPr>
        <w:t xml:space="preserve">Пројекцијепутања транзицијецелокупног сектора </w:t>
      </w:r>
      <w:r w:rsidR="00AA17EC" w:rsidRPr="00D52A15">
        <w:rPr>
          <w:lang/>
        </w:rPr>
        <w:t xml:space="preserve">би требало да се </w:t>
      </w:r>
      <w:r w:rsidRPr="00D52A15">
        <w:rPr>
          <w:lang/>
        </w:rPr>
        <w:t>рад</w:t>
      </w:r>
      <w:r w:rsidR="00AA17EC" w:rsidRPr="00D52A15">
        <w:rPr>
          <w:lang/>
        </w:rPr>
        <w:t>е</w:t>
      </w:r>
      <w:r w:rsidRPr="00D52A15">
        <w:rPr>
          <w:lang/>
        </w:rPr>
        <w:t xml:space="preserve"> применом </w:t>
      </w:r>
      <w:r w:rsidR="00AA1DD4" w:rsidRPr="00D52A15">
        <w:rPr>
          <w:lang/>
        </w:rPr>
        <w:t>тзв. ”</w:t>
      </w:r>
      <w:r w:rsidR="00AA17EC" w:rsidRPr="00D52A15">
        <w:rPr>
          <w:lang/>
        </w:rPr>
        <w:t>bottom up</w:t>
      </w:r>
      <w:r w:rsidR="00AA1DD4" w:rsidRPr="00D52A15">
        <w:rPr>
          <w:lang/>
        </w:rPr>
        <w:t>”</w:t>
      </w:r>
      <w:r w:rsidRPr="00D52A15">
        <w:rPr>
          <w:lang/>
        </w:rPr>
        <w:t xml:space="preserve"> приступа. Постављање остваривих циљева</w:t>
      </w:r>
      <w:r w:rsidR="005E0B56" w:rsidRPr="00D52A15">
        <w:rPr>
          <w:lang/>
        </w:rPr>
        <w:t xml:space="preserve"> мора</w:t>
      </w:r>
      <w:r w:rsidRPr="00D52A15">
        <w:rPr>
          <w:lang/>
        </w:rPr>
        <w:t xml:space="preserve"> да буде </w:t>
      </w:r>
      <w:r w:rsidR="00910461" w:rsidRPr="00D52A15">
        <w:rPr>
          <w:lang/>
        </w:rPr>
        <w:t>праћен</w:t>
      </w:r>
      <w:r w:rsidRPr="00D52A15">
        <w:rPr>
          <w:lang/>
        </w:rPr>
        <w:t>о</w:t>
      </w:r>
      <w:r w:rsidR="00910461" w:rsidRPr="00D52A15">
        <w:rPr>
          <w:lang/>
        </w:rPr>
        <w:t xml:space="preserve"> мапирањем свих локално расположивих обновљивих извора енергије, чије је увођење у производњу енергије технички рационал</w:t>
      </w:r>
      <w:r w:rsidR="00AA1DD4" w:rsidRPr="00D52A15">
        <w:rPr>
          <w:lang/>
        </w:rPr>
        <w:t>н</w:t>
      </w:r>
      <w:r w:rsidR="00910461" w:rsidRPr="00D52A15">
        <w:rPr>
          <w:lang/>
        </w:rPr>
        <w:t>о и економски оправдано, уз</w:t>
      </w:r>
      <w:r w:rsidR="005E0B56" w:rsidRPr="00D52A15">
        <w:rPr>
          <w:lang/>
        </w:rPr>
        <w:t xml:space="preserve"> уважава</w:t>
      </w:r>
      <w:r w:rsidR="00910461" w:rsidRPr="00D52A15">
        <w:rPr>
          <w:lang/>
        </w:rPr>
        <w:t>ње</w:t>
      </w:r>
      <w:r w:rsidR="005E0B56" w:rsidRPr="00D52A15">
        <w:rPr>
          <w:lang/>
        </w:rPr>
        <w:t xml:space="preserve"> специфичност</w:t>
      </w:r>
      <w:r w:rsidRPr="00D52A15">
        <w:rPr>
          <w:lang/>
        </w:rPr>
        <w:t>и</w:t>
      </w:r>
      <w:r w:rsidR="005E0B56" w:rsidRPr="00D52A15">
        <w:rPr>
          <w:lang/>
        </w:rPr>
        <w:t xml:space="preserve"> сваког СДГ, а имајући у виду посебно </w:t>
      </w:r>
      <w:r w:rsidR="00910461" w:rsidRPr="00D52A15">
        <w:rPr>
          <w:lang/>
        </w:rPr>
        <w:t xml:space="preserve">укупну инсталисану </w:t>
      </w:r>
      <w:r w:rsidR="005E0B56" w:rsidRPr="00D52A15">
        <w:rPr>
          <w:lang/>
        </w:rPr>
        <w:t>снагу великих система</w:t>
      </w:r>
      <w:r w:rsidR="006B17D6" w:rsidRPr="00D52A15">
        <w:rPr>
          <w:lang/>
        </w:rPr>
        <w:t xml:space="preserve"> (Слика 1)</w:t>
      </w:r>
      <w:r w:rsidR="005E0B56" w:rsidRPr="00D52A15">
        <w:rPr>
          <w:lang/>
        </w:rPr>
        <w:t>.</w:t>
      </w:r>
    </w:p>
    <w:p w:rsidR="005E0B56" w:rsidRPr="00D52A15" w:rsidRDefault="005E0B56" w:rsidP="00C24362">
      <w:pPr>
        <w:rPr>
          <w:lang/>
        </w:rPr>
      </w:pPr>
    </w:p>
    <w:p w:rsidR="00C1597A" w:rsidRPr="00D52A15" w:rsidRDefault="00C1597A" w:rsidP="00C24362">
      <w:pPr>
        <w:keepNext/>
        <w:shd w:val="clear" w:color="auto" w:fill="FFFFFF"/>
        <w:autoSpaceDE/>
        <w:autoSpaceDN/>
        <w:snapToGrid w:val="0"/>
        <w:jc w:val="center"/>
        <w:rPr>
          <w:sz w:val="20"/>
          <w:szCs w:val="20"/>
          <w:lang/>
        </w:rPr>
      </w:pPr>
      <w:r w:rsidRPr="00D52A15">
        <w:rPr>
          <w:noProof/>
          <w:sz w:val="20"/>
          <w:szCs w:val="20"/>
          <w:lang w:val="en-US"/>
        </w:rPr>
        <w:drawing>
          <wp:inline distT="0" distB="0" distL="0" distR="0">
            <wp:extent cx="2590165" cy="3482975"/>
            <wp:effectExtent l="19050" t="0" r="635" b="0"/>
            <wp:docPr id="69"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 descr="A picture containing diagram&#10;&#10;Description automatically generated"/>
                    <pic:cNvPicPr>
                      <a:picLocks noChangeAspect="1" noChangeArrowheads="1"/>
                    </pic:cNvPicPr>
                  </pic:nvPicPr>
                  <pic:blipFill>
                    <a:blip r:embed="rId10"/>
                    <a:srcRect/>
                    <a:stretch>
                      <a:fillRect/>
                    </a:stretch>
                  </pic:blipFill>
                  <pic:spPr bwMode="auto">
                    <a:xfrm>
                      <a:off x="0" y="0"/>
                      <a:ext cx="2590165" cy="3482975"/>
                    </a:xfrm>
                    <a:prstGeom prst="rect">
                      <a:avLst/>
                    </a:prstGeom>
                    <a:noFill/>
                    <a:ln w="9525">
                      <a:noFill/>
                      <a:miter lim="800000"/>
                      <a:headEnd/>
                      <a:tailEnd/>
                    </a:ln>
                  </pic:spPr>
                </pic:pic>
              </a:graphicData>
            </a:graphic>
          </wp:inline>
        </w:drawing>
      </w:r>
    </w:p>
    <w:p w:rsidR="00C1597A" w:rsidRPr="00AF5E05" w:rsidRDefault="00C1597A" w:rsidP="00C24362">
      <w:pPr>
        <w:pStyle w:val="Caption"/>
        <w:spacing w:after="0"/>
        <w:jc w:val="center"/>
        <w:rPr>
          <w:rFonts w:ascii="Times New Roman" w:hAnsi="Times New Roman" w:cs="Times New Roman"/>
          <w:b w:val="0"/>
          <w:bCs w:val="0"/>
          <w:i/>
          <w:iCs/>
          <w:color w:val="000000" w:themeColor="text1"/>
          <w:sz w:val="24"/>
          <w:szCs w:val="24"/>
          <w:lang w:val="en-US"/>
        </w:rPr>
      </w:pPr>
      <w:r w:rsidRPr="00AF5E05">
        <w:rPr>
          <w:rFonts w:ascii="Times New Roman" w:hAnsi="Times New Roman" w:cs="Times New Roman"/>
          <w:b w:val="0"/>
          <w:bCs w:val="0"/>
          <w:i/>
          <w:iCs/>
          <w:color w:val="000000" w:themeColor="text1"/>
          <w:sz w:val="24"/>
          <w:szCs w:val="24"/>
          <w:lang/>
        </w:rPr>
        <w:t>Слика 1</w:t>
      </w:r>
      <w:r w:rsidR="0020381D">
        <w:rPr>
          <w:rFonts w:ascii="Times New Roman" w:hAnsi="Times New Roman" w:cs="Times New Roman"/>
          <w:b w:val="0"/>
          <w:bCs w:val="0"/>
          <w:i/>
          <w:iCs/>
          <w:color w:val="000000" w:themeColor="text1"/>
          <w:sz w:val="24"/>
          <w:szCs w:val="24"/>
          <w:lang w:val="en-US"/>
        </w:rPr>
        <w:t>.</w:t>
      </w:r>
      <w:r w:rsidR="006B17D6" w:rsidRPr="00AF5E05">
        <w:rPr>
          <w:rFonts w:ascii="Times New Roman" w:hAnsi="Times New Roman" w:cs="Times New Roman"/>
          <w:b w:val="0"/>
          <w:bCs w:val="0"/>
          <w:i/>
          <w:iCs/>
          <w:color w:val="000000" w:themeColor="text1"/>
          <w:sz w:val="24"/>
          <w:szCs w:val="24"/>
          <w:lang/>
        </w:rPr>
        <w:t xml:space="preserve"> Системи даљинског грејања према произведеној енергији и коришћеним енергентима</w:t>
      </w:r>
      <w:r w:rsidR="00AF5E05" w:rsidRPr="00AF5E05">
        <w:rPr>
          <w:rFonts w:ascii="Times New Roman" w:hAnsi="Times New Roman" w:cs="Times New Roman"/>
          <w:b w:val="0"/>
          <w:bCs w:val="0"/>
          <w:i/>
          <w:iCs/>
          <w:color w:val="000000" w:themeColor="text1"/>
          <w:sz w:val="24"/>
          <w:szCs w:val="24"/>
          <w:lang w:val="en-US"/>
        </w:rPr>
        <w:t>[</w:t>
      </w:r>
      <w:r w:rsidR="000A0B8C">
        <w:rPr>
          <w:rFonts w:ascii="Times New Roman" w:hAnsi="Times New Roman" w:cs="Times New Roman"/>
          <w:b w:val="0"/>
          <w:bCs w:val="0"/>
          <w:i/>
          <w:iCs/>
          <w:color w:val="000000" w:themeColor="text1"/>
          <w:sz w:val="24"/>
          <w:szCs w:val="24"/>
          <w:lang w:val="en-US"/>
        </w:rPr>
        <w:t>8</w:t>
      </w:r>
      <w:r w:rsidR="00AF5E05" w:rsidRPr="00AF5E05">
        <w:rPr>
          <w:rFonts w:ascii="Times New Roman" w:hAnsi="Times New Roman" w:cs="Times New Roman"/>
          <w:b w:val="0"/>
          <w:bCs w:val="0"/>
          <w:i/>
          <w:iCs/>
          <w:color w:val="000000" w:themeColor="text1"/>
          <w:sz w:val="24"/>
          <w:szCs w:val="24"/>
          <w:lang w:val="en-US"/>
        </w:rPr>
        <w:t>]</w:t>
      </w:r>
    </w:p>
    <w:p w:rsidR="005E0B56" w:rsidRPr="00D52A15" w:rsidRDefault="005E0B56" w:rsidP="00C24362">
      <w:pPr>
        <w:rPr>
          <w:lang/>
        </w:rPr>
      </w:pPr>
    </w:p>
    <w:p w:rsidR="00A47226" w:rsidRPr="00D52A15" w:rsidRDefault="00A47226" w:rsidP="00C24362">
      <w:pPr>
        <w:rPr>
          <w:lang/>
        </w:rPr>
      </w:pPr>
      <w:r w:rsidRPr="00D52A15">
        <w:rPr>
          <w:lang/>
        </w:rPr>
        <w:t xml:space="preserve">За неке од система достизање </w:t>
      </w:r>
      <w:r w:rsidR="006B21C1" w:rsidRPr="00D52A15">
        <w:rPr>
          <w:lang/>
        </w:rPr>
        <w:t xml:space="preserve">већег </w:t>
      </w:r>
      <w:r w:rsidRPr="00D52A15">
        <w:rPr>
          <w:lang/>
        </w:rPr>
        <w:t>учешћа обнов</w:t>
      </w:r>
      <w:r w:rsidR="00892A0C" w:rsidRPr="00D52A15">
        <w:rPr>
          <w:lang/>
        </w:rPr>
        <w:t>љ</w:t>
      </w:r>
      <w:r w:rsidRPr="00D52A15">
        <w:rPr>
          <w:lang/>
        </w:rPr>
        <w:t>ивих извора енергије представљаће велики изазов, док ће за неке представљати нерешив проблем. Сваки СДГ треба да има свој циљ који ће бити одређен на основу прегледа расположивих и доступних извора за производњу топлотне енергије.</w:t>
      </w:r>
    </w:p>
    <w:p w:rsidR="00F50FED" w:rsidRPr="00D52A15" w:rsidRDefault="00F50FED" w:rsidP="00C24362">
      <w:pPr>
        <w:rPr>
          <w:lang/>
        </w:rPr>
      </w:pPr>
    </w:p>
    <w:p w:rsidR="008911EA" w:rsidRPr="00D52A15" w:rsidRDefault="00511878" w:rsidP="00C24362">
      <w:pPr>
        <w:rPr>
          <w:lang/>
        </w:rPr>
      </w:pPr>
      <w:r w:rsidRPr="00D52A15">
        <w:rPr>
          <w:lang/>
        </w:rPr>
        <w:lastRenderedPageBreak/>
        <w:t>2.2 Методологија</w:t>
      </w:r>
    </w:p>
    <w:p w:rsidR="00511878" w:rsidRPr="00D52A15" w:rsidRDefault="00511878" w:rsidP="00C24362">
      <w:pPr>
        <w:rPr>
          <w:lang/>
        </w:rPr>
      </w:pPr>
    </w:p>
    <w:p w:rsidR="00511878" w:rsidRPr="00D52A15" w:rsidRDefault="00892A0C" w:rsidP="00C24362">
      <w:pPr>
        <w:rPr>
          <w:lang/>
        </w:rPr>
      </w:pPr>
      <w:r w:rsidRPr="00D52A15">
        <w:rPr>
          <w:lang/>
        </w:rPr>
        <w:t>Процес</w:t>
      </w:r>
      <w:r w:rsidR="00511878" w:rsidRPr="00D52A15">
        <w:rPr>
          <w:lang/>
        </w:rPr>
        <w:t xml:space="preserve"> енергетске транзиције система даљинског грејања веома је</w:t>
      </w:r>
      <w:r w:rsidR="00AA1DD4" w:rsidRPr="00D52A15">
        <w:rPr>
          <w:lang/>
        </w:rPr>
        <w:t xml:space="preserve"> сложен</w:t>
      </w:r>
      <w:r w:rsidR="00511878" w:rsidRPr="00D52A15">
        <w:rPr>
          <w:lang/>
        </w:rPr>
        <w:t>, јер поред техничких аспеката обухвата и социолошке и економске аспекте који су међусобно условљени.Уколико се посматрају само технички а</w:t>
      </w:r>
      <w:r w:rsidR="00686432" w:rsidRPr="00D52A15">
        <w:rPr>
          <w:lang/>
        </w:rPr>
        <w:t>спекти унапређења и трансформације, проблем се своди на одређивање потенцијала уштеде</w:t>
      </w:r>
      <w:r w:rsidR="00A47226" w:rsidRPr="00D52A15">
        <w:rPr>
          <w:lang/>
        </w:rPr>
        <w:t xml:space="preserve"> енергије</w:t>
      </w:r>
      <w:r w:rsidR="00686432" w:rsidRPr="00D52A15">
        <w:rPr>
          <w:lang/>
        </w:rPr>
        <w:t xml:space="preserve"> на страни потрошача, повећању ефикасности у производњи и дистрибуцији и укључивање обновљивих и алтернативних извора енергије (Слика </w:t>
      </w:r>
      <w:r w:rsidRPr="00D52A15">
        <w:rPr>
          <w:lang/>
        </w:rPr>
        <w:t>2</w:t>
      </w:r>
      <w:r w:rsidR="00686432" w:rsidRPr="00D52A15">
        <w:rPr>
          <w:lang/>
        </w:rPr>
        <w:t>)</w:t>
      </w:r>
      <w:r w:rsidR="00AF5E05">
        <w:rPr>
          <w:lang w:val="en-US"/>
        </w:rPr>
        <w:t>.</w:t>
      </w:r>
    </w:p>
    <w:p w:rsidR="00686432" w:rsidRPr="00D52A15" w:rsidRDefault="00686432" w:rsidP="00C24362">
      <w:pPr>
        <w:rPr>
          <w:lang/>
        </w:rPr>
      </w:pPr>
    </w:p>
    <w:p w:rsidR="00686432" w:rsidRPr="00D52A15" w:rsidRDefault="007C2F6A" w:rsidP="00C24362">
      <w:pPr>
        <w:jc w:val="center"/>
        <w:rPr>
          <w:lang/>
        </w:rPr>
      </w:pPr>
      <w:r w:rsidRPr="00D52A15">
        <w:rPr>
          <w:lang/>
        </w:rPr>
        <w:object w:dxaOrig="16981" w:dyaOrig="9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207.15pt;mso-width-percent:0;mso-height-percent:0;mso-width-percent:0;mso-height-percent:0" o:ole="">
            <v:imagedata r:id="rId11" o:title=""/>
          </v:shape>
          <o:OLEObject Type="Embed" ProgID="Visio.Drawing.15" ShapeID="_x0000_i1025" DrawAspect="Content" ObjectID="_1744801193" r:id="rId12"/>
        </w:object>
      </w:r>
    </w:p>
    <w:p w:rsidR="00F50FED" w:rsidRPr="00D52A15" w:rsidRDefault="00F50FED" w:rsidP="00C24362">
      <w:pPr>
        <w:rPr>
          <w:lang/>
        </w:rPr>
      </w:pPr>
    </w:p>
    <w:p w:rsidR="00935378" w:rsidRPr="00AF5E05" w:rsidRDefault="00480CA1" w:rsidP="00C24362">
      <w:pPr>
        <w:jc w:val="center"/>
        <w:rPr>
          <w:i/>
          <w:iCs/>
          <w:lang/>
        </w:rPr>
      </w:pPr>
      <w:r w:rsidRPr="009C0082">
        <w:rPr>
          <w:i/>
          <w:iCs/>
          <w:lang/>
        </w:rPr>
        <w:t xml:space="preserve">Слика </w:t>
      </w:r>
      <w:r w:rsidR="00AF5E05" w:rsidRPr="009C0082">
        <w:rPr>
          <w:i/>
          <w:iCs/>
          <w:lang w:val="en-US"/>
        </w:rPr>
        <w:t>2</w:t>
      </w:r>
      <w:r w:rsidR="0020381D" w:rsidRPr="009C0082">
        <w:rPr>
          <w:i/>
          <w:iCs/>
          <w:lang w:val="en-US"/>
        </w:rPr>
        <w:t>.</w:t>
      </w:r>
      <w:r w:rsidRPr="009C0082">
        <w:rPr>
          <w:i/>
          <w:iCs/>
          <w:lang/>
        </w:rPr>
        <w:t xml:space="preserve"> Могућности за трансформацију</w:t>
      </w:r>
      <w:r w:rsidR="000A27AF" w:rsidRPr="009C0082">
        <w:rPr>
          <w:i/>
          <w:iCs/>
          <w:lang/>
        </w:rPr>
        <w:t xml:space="preserve"> система даљинског грејања</w:t>
      </w:r>
      <w:r w:rsidRPr="009C0082">
        <w:rPr>
          <w:i/>
          <w:iCs/>
          <w:lang/>
        </w:rPr>
        <w:t>–технички аспекти</w:t>
      </w:r>
    </w:p>
    <w:p w:rsidR="002311CB" w:rsidRPr="00D52A15" w:rsidRDefault="002311CB" w:rsidP="00C24362">
      <w:pPr>
        <w:rPr>
          <w:lang/>
        </w:rPr>
      </w:pPr>
    </w:p>
    <w:p w:rsidR="008E7395" w:rsidRPr="00D52A15" w:rsidRDefault="008E7395" w:rsidP="00C24362">
      <w:pPr>
        <w:keepNext/>
        <w:shd w:val="clear" w:color="auto" w:fill="FFFFFF"/>
        <w:autoSpaceDE/>
        <w:autoSpaceDN/>
        <w:snapToGrid w:val="0"/>
        <w:rPr>
          <w:lang/>
        </w:rPr>
      </w:pPr>
      <w:r w:rsidRPr="00D52A15">
        <w:rPr>
          <w:lang/>
        </w:rPr>
        <w:t>У оквиру истраживања приказаног у овом раду</w:t>
      </w:r>
      <w:r w:rsidR="00FE5B96" w:rsidRPr="00D52A15">
        <w:rPr>
          <w:lang/>
        </w:rPr>
        <w:t xml:space="preserve">, размотрени су технички аспекти транзиције СДГ у Србији и </w:t>
      </w:r>
      <w:r w:rsidRPr="00D52A15">
        <w:rPr>
          <w:lang/>
        </w:rPr>
        <w:t>анализирани су:</w:t>
      </w:r>
    </w:p>
    <w:p w:rsidR="00A47226" w:rsidRPr="00D52A15" w:rsidRDefault="00A47226" w:rsidP="00C24362">
      <w:pPr>
        <w:pStyle w:val="ListParagraph"/>
        <w:keepNext/>
        <w:numPr>
          <w:ilvl w:val="0"/>
          <w:numId w:val="2"/>
        </w:numPr>
        <w:shd w:val="clear" w:color="auto" w:fill="FFFFFF"/>
        <w:autoSpaceDE/>
        <w:autoSpaceDN/>
        <w:snapToGrid w:val="0"/>
        <w:contextualSpacing w:val="0"/>
        <w:rPr>
          <w:lang/>
        </w:rPr>
      </w:pPr>
      <w:r w:rsidRPr="00D52A15">
        <w:rPr>
          <w:lang/>
        </w:rPr>
        <w:t xml:space="preserve">Расположива снага и енергија </w:t>
      </w:r>
      <w:r w:rsidR="00AA1DD4" w:rsidRPr="00D52A15">
        <w:rPr>
          <w:lang/>
        </w:rPr>
        <w:t xml:space="preserve">у </w:t>
      </w:r>
      <w:r w:rsidR="008E7395" w:rsidRPr="00D52A15">
        <w:rPr>
          <w:lang/>
        </w:rPr>
        <w:t>постојећ</w:t>
      </w:r>
      <w:r w:rsidRPr="00D52A15">
        <w:rPr>
          <w:lang/>
        </w:rPr>
        <w:t>им</w:t>
      </w:r>
      <w:r w:rsidR="008E7395" w:rsidRPr="00D52A15">
        <w:rPr>
          <w:lang/>
        </w:rPr>
        <w:t xml:space="preserve"> мреж</w:t>
      </w:r>
      <w:r w:rsidRPr="00D52A15">
        <w:rPr>
          <w:lang/>
        </w:rPr>
        <w:t xml:space="preserve">ама за прикључење нових </w:t>
      </w:r>
      <w:r w:rsidR="00AA1DD4" w:rsidRPr="00D52A15">
        <w:rPr>
          <w:lang/>
        </w:rPr>
        <w:t>потрошача</w:t>
      </w:r>
      <w:r w:rsidR="0020381D">
        <w:rPr>
          <w:lang w:val="en-US"/>
        </w:rPr>
        <w:t>.</w:t>
      </w:r>
      <w:r w:rsidR="008E7395" w:rsidRPr="00D52A15">
        <w:rPr>
          <w:lang/>
        </w:rPr>
        <w:t xml:space="preserve"> Као критеријум коришћен је индикатор линијска густина топлотног оптерећења</w:t>
      </w:r>
      <w:r w:rsidR="00AF5E05">
        <w:rPr>
          <w:lang w:val="en-US"/>
        </w:rPr>
        <w:t>;</w:t>
      </w:r>
    </w:p>
    <w:p w:rsidR="008E7395" w:rsidRPr="00D52A15" w:rsidRDefault="008E7395" w:rsidP="00C24362">
      <w:pPr>
        <w:pStyle w:val="ListParagraph"/>
        <w:keepNext/>
        <w:numPr>
          <w:ilvl w:val="0"/>
          <w:numId w:val="2"/>
        </w:numPr>
        <w:shd w:val="clear" w:color="auto" w:fill="FFFFFF"/>
        <w:autoSpaceDE/>
        <w:autoSpaceDN/>
        <w:snapToGrid w:val="0"/>
        <w:contextualSpacing w:val="0"/>
        <w:rPr>
          <w:lang/>
        </w:rPr>
      </w:pPr>
      <w:r w:rsidRPr="00D52A15">
        <w:rPr>
          <w:lang/>
        </w:rPr>
        <w:t>Технички потенцијал отпадне топлоте из индустрије који би могао да се користи директно или топлотним пумпама</w:t>
      </w:r>
      <w:r w:rsidR="0020381D">
        <w:rPr>
          <w:lang w:val="en-US"/>
        </w:rPr>
        <w:t>;</w:t>
      </w:r>
    </w:p>
    <w:p w:rsidR="008E7395" w:rsidRPr="00D52A15" w:rsidRDefault="008E7395" w:rsidP="00C24362">
      <w:pPr>
        <w:pStyle w:val="ListParagraph"/>
        <w:keepNext/>
        <w:numPr>
          <w:ilvl w:val="0"/>
          <w:numId w:val="2"/>
        </w:numPr>
        <w:shd w:val="clear" w:color="auto" w:fill="FFFFFF"/>
        <w:autoSpaceDE/>
        <w:autoSpaceDN/>
        <w:snapToGrid w:val="0"/>
        <w:contextualSpacing w:val="0"/>
        <w:rPr>
          <w:lang/>
        </w:rPr>
      </w:pPr>
      <w:r w:rsidRPr="00D52A15">
        <w:rPr>
          <w:lang/>
        </w:rPr>
        <w:t>Потенцијал коришћења дрвне биомасе</w:t>
      </w:r>
      <w:r w:rsidR="0020381D">
        <w:rPr>
          <w:lang w:val="en-US"/>
        </w:rPr>
        <w:t>;</w:t>
      </w:r>
    </w:p>
    <w:p w:rsidR="008E7395" w:rsidRPr="00D52A15" w:rsidRDefault="008E7395" w:rsidP="00C24362">
      <w:pPr>
        <w:pStyle w:val="ListParagraph"/>
        <w:keepNext/>
        <w:numPr>
          <w:ilvl w:val="0"/>
          <w:numId w:val="2"/>
        </w:numPr>
        <w:shd w:val="clear" w:color="auto" w:fill="FFFFFF"/>
        <w:autoSpaceDE/>
        <w:autoSpaceDN/>
        <w:snapToGrid w:val="0"/>
        <w:contextualSpacing w:val="0"/>
        <w:rPr>
          <w:lang/>
        </w:rPr>
      </w:pPr>
      <w:r w:rsidRPr="00D52A15">
        <w:rPr>
          <w:lang/>
        </w:rPr>
        <w:t>Потенцијал коришћења отпадне топлоте из система за пречишћавање отпадних вода</w:t>
      </w:r>
      <w:r w:rsidR="0020381D">
        <w:rPr>
          <w:lang w:val="en-US"/>
        </w:rPr>
        <w:t>;</w:t>
      </w:r>
    </w:p>
    <w:p w:rsidR="008E7395" w:rsidRPr="00D52A15" w:rsidRDefault="008E7395" w:rsidP="00C24362">
      <w:pPr>
        <w:pStyle w:val="ListParagraph"/>
        <w:keepNext/>
        <w:numPr>
          <w:ilvl w:val="0"/>
          <w:numId w:val="2"/>
        </w:numPr>
        <w:shd w:val="clear" w:color="auto" w:fill="FFFFFF"/>
        <w:autoSpaceDE/>
        <w:autoSpaceDN/>
        <w:snapToGrid w:val="0"/>
        <w:contextualSpacing w:val="0"/>
        <w:rPr>
          <w:lang/>
        </w:rPr>
      </w:pPr>
      <w:r w:rsidRPr="00D52A15">
        <w:rPr>
          <w:lang/>
        </w:rPr>
        <w:t xml:space="preserve">Могућност </w:t>
      </w:r>
      <w:r w:rsidR="00B93CDE" w:rsidRPr="00D52A15">
        <w:rPr>
          <w:lang/>
        </w:rPr>
        <w:t>коришћења и интеграциј</w:t>
      </w:r>
      <w:r w:rsidR="00892A0C" w:rsidRPr="00D52A15">
        <w:rPr>
          <w:lang/>
        </w:rPr>
        <w:t>а</w:t>
      </w:r>
      <w:r w:rsidR="00B93CDE" w:rsidRPr="00D52A15">
        <w:rPr>
          <w:lang/>
        </w:rPr>
        <w:t xml:space="preserve"> високоефикасних когенерационих постројења на природни гас</w:t>
      </w:r>
      <w:r w:rsidR="0020381D">
        <w:rPr>
          <w:lang w:val="en-US"/>
        </w:rPr>
        <w:t>;</w:t>
      </w:r>
    </w:p>
    <w:p w:rsidR="008E7395" w:rsidRPr="00D52A15" w:rsidRDefault="00B93CDE" w:rsidP="00C24362">
      <w:pPr>
        <w:pStyle w:val="ListParagraph"/>
        <w:keepNext/>
        <w:numPr>
          <w:ilvl w:val="0"/>
          <w:numId w:val="2"/>
        </w:numPr>
        <w:shd w:val="clear" w:color="auto" w:fill="FFFFFF"/>
        <w:autoSpaceDE/>
        <w:autoSpaceDN/>
        <w:snapToGrid w:val="0"/>
        <w:contextualSpacing w:val="0"/>
        <w:rPr>
          <w:lang/>
        </w:rPr>
      </w:pPr>
      <w:r w:rsidRPr="00D52A15">
        <w:rPr>
          <w:lang/>
        </w:rPr>
        <w:t>Потенцијал комуналног отпада</w:t>
      </w:r>
      <w:r w:rsidR="0020381D">
        <w:rPr>
          <w:lang w:val="en-US"/>
        </w:rPr>
        <w:t>;</w:t>
      </w:r>
    </w:p>
    <w:p w:rsidR="00B93CDE" w:rsidRPr="00D52A15" w:rsidRDefault="00B93CDE" w:rsidP="00C24362">
      <w:pPr>
        <w:pStyle w:val="ListParagraph"/>
        <w:keepNext/>
        <w:numPr>
          <w:ilvl w:val="0"/>
          <w:numId w:val="2"/>
        </w:numPr>
        <w:shd w:val="clear" w:color="auto" w:fill="FFFFFF"/>
        <w:autoSpaceDE/>
        <w:autoSpaceDN/>
        <w:snapToGrid w:val="0"/>
        <w:contextualSpacing w:val="0"/>
        <w:rPr>
          <w:lang/>
        </w:rPr>
      </w:pPr>
      <w:r w:rsidRPr="00D52A15">
        <w:rPr>
          <w:lang/>
        </w:rPr>
        <w:t>Потенцијал соларне енергије</w:t>
      </w:r>
      <w:r w:rsidR="00892A0C" w:rsidRPr="00D52A15">
        <w:rPr>
          <w:lang/>
        </w:rPr>
        <w:t>.</w:t>
      </w:r>
    </w:p>
    <w:p w:rsidR="00892A0C" w:rsidRPr="00D52A15" w:rsidRDefault="00892A0C" w:rsidP="00C24362">
      <w:pPr>
        <w:keepNext/>
        <w:shd w:val="clear" w:color="auto" w:fill="FFFFFF"/>
        <w:autoSpaceDE/>
        <w:autoSpaceDN/>
        <w:snapToGrid w:val="0"/>
        <w:rPr>
          <w:sz w:val="20"/>
          <w:szCs w:val="20"/>
          <w:lang/>
        </w:rPr>
      </w:pPr>
    </w:p>
    <w:p w:rsidR="002A5984" w:rsidRPr="00D52A15" w:rsidRDefault="002A5984" w:rsidP="00C24362">
      <w:pPr>
        <w:keepNext/>
        <w:shd w:val="clear" w:color="auto" w:fill="FFFFFF"/>
        <w:autoSpaceDE/>
        <w:autoSpaceDN/>
        <w:snapToGrid w:val="0"/>
        <w:rPr>
          <w:lang/>
        </w:rPr>
      </w:pPr>
      <w:r w:rsidRPr="00D52A15">
        <w:rPr>
          <w:lang/>
        </w:rPr>
        <w:t>Као резултат спроведене анализе предложен</w:t>
      </w:r>
      <w:r w:rsidR="00302CE2" w:rsidRPr="00D52A15">
        <w:rPr>
          <w:lang/>
        </w:rPr>
        <w:t>а</w:t>
      </w:r>
      <w:r w:rsidRPr="00D52A15">
        <w:rPr>
          <w:lang/>
        </w:rPr>
        <w:t xml:space="preserve"> је </w:t>
      </w:r>
      <w:r w:rsidR="00302CE2" w:rsidRPr="00D52A15">
        <w:rPr>
          <w:lang/>
        </w:rPr>
        <w:t>промена структуре производње топлотне енергије у СДГ</w:t>
      </w:r>
      <w:r w:rsidRPr="00D52A15">
        <w:rPr>
          <w:lang/>
        </w:rPr>
        <w:t xml:space="preserve"> до 2030. године.</w:t>
      </w:r>
    </w:p>
    <w:p w:rsidR="002A5984" w:rsidRPr="00D52A15" w:rsidRDefault="002A5984" w:rsidP="00C24362">
      <w:pPr>
        <w:keepNext/>
        <w:shd w:val="clear" w:color="auto" w:fill="FFFFFF"/>
        <w:autoSpaceDE/>
        <w:autoSpaceDN/>
        <w:snapToGrid w:val="0"/>
        <w:rPr>
          <w:sz w:val="20"/>
          <w:szCs w:val="20"/>
          <w:lang/>
        </w:rPr>
      </w:pPr>
    </w:p>
    <w:p w:rsidR="002A5984" w:rsidRPr="00D52A15" w:rsidRDefault="002A5984" w:rsidP="00C24362">
      <w:pPr>
        <w:keepNext/>
        <w:shd w:val="clear" w:color="auto" w:fill="FFFFFF"/>
        <w:autoSpaceDE/>
        <w:autoSpaceDN/>
        <w:snapToGrid w:val="0"/>
        <w:rPr>
          <w:sz w:val="20"/>
          <w:szCs w:val="20"/>
          <w:lang/>
        </w:rPr>
      </w:pPr>
    </w:p>
    <w:p w:rsidR="002A5984" w:rsidRPr="0020381D" w:rsidRDefault="00AF0BA7" w:rsidP="00C24362">
      <w:pPr>
        <w:keepNext/>
        <w:shd w:val="clear" w:color="auto" w:fill="FFFFFF"/>
        <w:autoSpaceDE/>
        <w:autoSpaceDN/>
        <w:snapToGrid w:val="0"/>
        <w:rPr>
          <w:b/>
          <w:bCs/>
          <w:lang/>
        </w:rPr>
      </w:pPr>
      <w:r w:rsidRPr="0020381D">
        <w:rPr>
          <w:b/>
          <w:bCs/>
          <w:lang/>
        </w:rPr>
        <w:t xml:space="preserve">3 </w:t>
      </w:r>
      <w:r w:rsidR="00A47226" w:rsidRPr="0020381D">
        <w:rPr>
          <w:b/>
          <w:bCs/>
          <w:lang/>
        </w:rPr>
        <w:t>РЕЗУЛТАТИ И ДИСКУСИЈА</w:t>
      </w:r>
    </w:p>
    <w:p w:rsidR="00772822" w:rsidRPr="00D52A15" w:rsidRDefault="00772822" w:rsidP="00C24362">
      <w:pPr>
        <w:rPr>
          <w:sz w:val="20"/>
          <w:szCs w:val="20"/>
          <w:lang/>
        </w:rPr>
      </w:pPr>
    </w:p>
    <w:p w:rsidR="00AF0BA7" w:rsidRPr="00D52A15" w:rsidRDefault="00AF0BA7" w:rsidP="00C24362">
      <w:pPr>
        <w:rPr>
          <w:lang/>
        </w:rPr>
      </w:pPr>
      <w:r w:rsidRPr="00D52A15">
        <w:rPr>
          <w:lang/>
        </w:rPr>
        <w:t>3.1</w:t>
      </w:r>
      <w:r w:rsidR="00A47226" w:rsidRPr="00D52A15">
        <w:rPr>
          <w:lang/>
        </w:rPr>
        <w:t xml:space="preserve"> Расположива снага и енергија у постојећим системима</w:t>
      </w:r>
    </w:p>
    <w:p w:rsidR="00A47226" w:rsidRPr="00D52A15" w:rsidRDefault="00A47226" w:rsidP="00C24362">
      <w:pPr>
        <w:rPr>
          <w:sz w:val="20"/>
          <w:szCs w:val="20"/>
          <w:lang/>
        </w:rPr>
      </w:pPr>
    </w:p>
    <w:p w:rsidR="002A5984" w:rsidRPr="0020381D" w:rsidRDefault="002A5984" w:rsidP="00C24362">
      <w:pPr>
        <w:rPr>
          <w:lang w:val="en-US"/>
        </w:rPr>
      </w:pPr>
      <w:r w:rsidRPr="00D52A15">
        <w:rPr>
          <w:lang/>
        </w:rPr>
        <w:t xml:space="preserve">Значајан потенцијал за побољшање ефикасности пословања у постојећим </w:t>
      </w:r>
      <w:r w:rsidR="00CB649E" w:rsidRPr="00D52A15">
        <w:rPr>
          <w:lang/>
        </w:rPr>
        <w:t>СДГ</w:t>
      </w:r>
      <w:r w:rsidRPr="00D52A15">
        <w:rPr>
          <w:lang/>
        </w:rPr>
        <w:t xml:space="preserve"> је у прикључењу нових потрошача. Потенцијал је идентификован у системима даљ</w:t>
      </w:r>
      <w:r w:rsidR="00AF0BA7" w:rsidRPr="00D52A15">
        <w:rPr>
          <w:lang/>
        </w:rPr>
        <w:t>инског грејања чији је линијска густина</w:t>
      </w:r>
      <w:r w:rsidR="00A47226" w:rsidRPr="00D52A15">
        <w:rPr>
          <w:lang/>
        </w:rPr>
        <w:t xml:space="preserve"> топлотног</w:t>
      </w:r>
      <w:r w:rsidR="00AF0BA7" w:rsidRPr="00D52A15">
        <w:rPr>
          <w:lang/>
        </w:rPr>
        <w:t xml:space="preserve"> оптерећења мања од 2,5 MWh/m</w:t>
      </w:r>
      <w:r w:rsidR="0020381D">
        <w:rPr>
          <w:lang w:val="en-US"/>
        </w:rPr>
        <w:t xml:space="preserve"> [</w:t>
      </w:r>
      <w:r w:rsidR="0053416E">
        <w:rPr>
          <w:lang w:val="en-US"/>
        </w:rPr>
        <w:t>9</w:t>
      </w:r>
      <w:r w:rsidR="0020381D">
        <w:rPr>
          <w:lang w:val="en-US"/>
        </w:rPr>
        <w:t>]</w:t>
      </w:r>
      <w:r w:rsidR="00AF0BA7" w:rsidRPr="00D52A15">
        <w:rPr>
          <w:lang/>
        </w:rPr>
        <w:t xml:space="preserve">. У </w:t>
      </w:r>
      <w:r w:rsidR="00A47226" w:rsidRPr="00D52A15">
        <w:rPr>
          <w:lang/>
        </w:rPr>
        <w:t>Т</w:t>
      </w:r>
      <w:r w:rsidR="00AF0BA7" w:rsidRPr="00D52A15">
        <w:rPr>
          <w:lang/>
        </w:rPr>
        <w:t>абели 1 су приказани СДГ са потенцијалом прикључења нових потрошача</w:t>
      </w:r>
      <w:r w:rsidR="0020381D">
        <w:rPr>
          <w:lang w:val="en-US"/>
        </w:rPr>
        <w:t>.</w:t>
      </w:r>
    </w:p>
    <w:p w:rsidR="002A5984" w:rsidRPr="00D52A15" w:rsidRDefault="002A5984" w:rsidP="00C24362">
      <w:pPr>
        <w:rPr>
          <w:sz w:val="20"/>
          <w:szCs w:val="20"/>
          <w:lang/>
        </w:rPr>
      </w:pPr>
    </w:p>
    <w:p w:rsidR="00772822" w:rsidRPr="0020381D" w:rsidRDefault="00A47226" w:rsidP="00C24362">
      <w:pPr>
        <w:rPr>
          <w:vertAlign w:val="superscript"/>
          <w:lang w:val="en-US"/>
        </w:rPr>
      </w:pPr>
      <w:bookmarkStart w:id="0" w:name="_Toc129629262"/>
      <w:bookmarkStart w:id="1" w:name="_Toc130481924"/>
      <w:r w:rsidRPr="0020381D">
        <w:rPr>
          <w:i/>
          <w:iCs/>
          <w:lang/>
        </w:rPr>
        <w:t>Табела</w:t>
      </w:r>
      <w:r w:rsidR="0020381D" w:rsidRPr="0020381D">
        <w:rPr>
          <w:i/>
          <w:iCs/>
          <w:lang w:val="en-US"/>
        </w:rPr>
        <w:t>1</w:t>
      </w:r>
      <w:r w:rsidR="00772822" w:rsidRPr="0020381D">
        <w:rPr>
          <w:i/>
          <w:iCs/>
          <w:lang/>
        </w:rPr>
        <w:t xml:space="preserve">. </w:t>
      </w:r>
      <w:bookmarkEnd w:id="0"/>
      <w:bookmarkEnd w:id="1"/>
      <w:r w:rsidR="00AF0BA7" w:rsidRPr="0020381D">
        <w:rPr>
          <w:i/>
          <w:iCs/>
          <w:lang/>
        </w:rPr>
        <w:t>Линијска густина топлотног оптерећења и потенцијал за нове кориснике</w:t>
      </w:r>
      <w:r w:rsidR="0020381D" w:rsidRPr="0020381D">
        <w:rPr>
          <w:i/>
          <w:iCs/>
          <w:lang w:val="en-US"/>
        </w:rPr>
        <w:t>[1</w:t>
      </w:r>
      <w:r w:rsidR="0053416E">
        <w:rPr>
          <w:i/>
          <w:iCs/>
          <w:lang w:val="en-US"/>
        </w:rPr>
        <w:t>0</w:t>
      </w:r>
      <w:r w:rsidR="0020381D" w:rsidRPr="0020381D">
        <w:rPr>
          <w:i/>
          <w:iCs/>
          <w:lang w:val="en-US"/>
        </w:rPr>
        <w:t>]</w:t>
      </w:r>
    </w:p>
    <w:tbl>
      <w:tblPr>
        <w:tblW w:w="3286" w:type="pct"/>
        <w:tblLook w:val="04A0"/>
      </w:tblPr>
      <w:tblGrid>
        <w:gridCol w:w="1013"/>
        <w:gridCol w:w="2390"/>
        <w:gridCol w:w="1384"/>
        <w:gridCol w:w="1690"/>
      </w:tblGrid>
      <w:tr w:rsidR="00772822" w:rsidRPr="0020381D" w:rsidTr="00437124">
        <w:trPr>
          <w:trHeight w:val="614"/>
          <w:tblHeader/>
        </w:trPr>
        <w:tc>
          <w:tcPr>
            <w:tcW w:w="820" w:type="pct"/>
            <w:vMerge w:val="restart"/>
            <w:tcBorders>
              <w:top w:val="single" w:sz="12" w:space="0" w:color="auto"/>
              <w:left w:val="single" w:sz="12" w:space="0" w:color="auto"/>
              <w:right w:val="single" w:sz="4" w:space="0" w:color="auto"/>
            </w:tcBorders>
            <w:shd w:val="clear" w:color="auto" w:fill="F2F2F2" w:themeFill="background1" w:themeFillShade="F2"/>
            <w:noWrap/>
            <w:vAlign w:val="center"/>
            <w:hideMark/>
          </w:tcPr>
          <w:p w:rsidR="00772822" w:rsidRPr="0020381D" w:rsidRDefault="00AF0BA7" w:rsidP="00C24362">
            <w:pPr>
              <w:jc w:val="center"/>
              <w:rPr>
                <w:b/>
                <w:color w:val="000000"/>
                <w:lang/>
              </w:rPr>
            </w:pPr>
            <w:r w:rsidRPr="0020381D">
              <w:rPr>
                <w:b/>
                <w:color w:val="000000"/>
                <w:sz w:val="22"/>
                <w:szCs w:val="22"/>
                <w:lang/>
              </w:rPr>
              <w:t>Бр</w:t>
            </w:r>
            <w:r w:rsidR="00772822" w:rsidRPr="0020381D">
              <w:rPr>
                <w:b/>
                <w:color w:val="000000"/>
                <w:sz w:val="22"/>
                <w:szCs w:val="22"/>
                <w:lang/>
              </w:rPr>
              <w:t>.</w:t>
            </w:r>
          </w:p>
        </w:tc>
        <w:tc>
          <w:tcPr>
            <w:tcW w:w="1882" w:type="pct"/>
            <w:vMerge w:val="restart"/>
            <w:tcBorders>
              <w:top w:val="single" w:sz="12" w:space="0" w:color="auto"/>
              <w:left w:val="nil"/>
              <w:right w:val="single" w:sz="4" w:space="0" w:color="auto"/>
            </w:tcBorders>
            <w:shd w:val="clear" w:color="auto" w:fill="F2F2F2" w:themeFill="background1" w:themeFillShade="F2"/>
            <w:noWrap/>
            <w:vAlign w:val="center"/>
            <w:hideMark/>
          </w:tcPr>
          <w:p w:rsidR="00772822" w:rsidRPr="0020381D" w:rsidRDefault="00AF0BA7" w:rsidP="00C24362">
            <w:pPr>
              <w:jc w:val="center"/>
              <w:rPr>
                <w:b/>
                <w:color w:val="000000"/>
                <w:lang/>
              </w:rPr>
            </w:pPr>
            <w:r w:rsidRPr="0020381D">
              <w:rPr>
                <w:b/>
                <w:color w:val="000000"/>
                <w:sz w:val="22"/>
                <w:szCs w:val="22"/>
                <w:lang/>
              </w:rPr>
              <w:t>СДГ</w:t>
            </w:r>
          </w:p>
        </w:tc>
        <w:tc>
          <w:tcPr>
            <w:tcW w:w="956" w:type="pct"/>
            <w:tcBorders>
              <w:top w:val="single" w:sz="12" w:space="0" w:color="auto"/>
              <w:left w:val="nil"/>
              <w:bottom w:val="single" w:sz="4" w:space="0" w:color="auto"/>
              <w:right w:val="single" w:sz="4" w:space="0" w:color="auto"/>
            </w:tcBorders>
            <w:shd w:val="clear" w:color="auto" w:fill="F2F2F2" w:themeFill="background1" w:themeFillShade="F2"/>
            <w:vAlign w:val="center"/>
            <w:hideMark/>
          </w:tcPr>
          <w:p w:rsidR="00772822" w:rsidRPr="0020381D" w:rsidRDefault="005F1AFE" w:rsidP="00C24362">
            <w:pPr>
              <w:jc w:val="center"/>
              <w:rPr>
                <w:b/>
                <w:color w:val="000000"/>
                <w:lang/>
              </w:rPr>
            </w:pPr>
            <w:r w:rsidRPr="0020381D">
              <w:rPr>
                <w:b/>
                <w:color w:val="000000"/>
                <w:sz w:val="22"/>
                <w:szCs w:val="22"/>
                <w:lang/>
              </w:rPr>
              <w:t>Линијска</w:t>
            </w:r>
            <w:r w:rsidR="00AF0BA7" w:rsidRPr="0020381D">
              <w:rPr>
                <w:b/>
                <w:color w:val="000000"/>
                <w:sz w:val="22"/>
                <w:szCs w:val="22"/>
                <w:lang/>
              </w:rPr>
              <w:t xml:space="preserve"> густина топлотног оптерећења</w:t>
            </w:r>
          </w:p>
        </w:tc>
        <w:tc>
          <w:tcPr>
            <w:tcW w:w="1342" w:type="pct"/>
            <w:tcBorders>
              <w:top w:val="single" w:sz="12" w:space="0" w:color="auto"/>
              <w:left w:val="nil"/>
              <w:bottom w:val="single" w:sz="4" w:space="0" w:color="auto"/>
              <w:right w:val="single" w:sz="12" w:space="0" w:color="auto"/>
            </w:tcBorders>
            <w:shd w:val="clear" w:color="auto" w:fill="F2F2F2" w:themeFill="background1" w:themeFillShade="F2"/>
            <w:vAlign w:val="center"/>
            <w:hideMark/>
          </w:tcPr>
          <w:p w:rsidR="00772822" w:rsidRPr="0020381D" w:rsidRDefault="00AF0BA7" w:rsidP="00C24362">
            <w:pPr>
              <w:jc w:val="center"/>
              <w:rPr>
                <w:b/>
                <w:color w:val="000000"/>
                <w:lang/>
              </w:rPr>
            </w:pPr>
            <w:r w:rsidRPr="0020381D">
              <w:rPr>
                <w:b/>
                <w:color w:val="000000"/>
                <w:sz w:val="22"/>
                <w:szCs w:val="22"/>
                <w:lang/>
              </w:rPr>
              <w:t>Енергија расположива за нове кориснике</w:t>
            </w:r>
          </w:p>
        </w:tc>
      </w:tr>
      <w:tr w:rsidR="00772822" w:rsidRPr="0020381D" w:rsidTr="00437124">
        <w:trPr>
          <w:trHeight w:val="300"/>
          <w:tblHeader/>
        </w:trPr>
        <w:tc>
          <w:tcPr>
            <w:tcW w:w="820" w:type="pct"/>
            <w:vMerge/>
            <w:tcBorders>
              <w:left w:val="single" w:sz="12" w:space="0" w:color="auto"/>
              <w:bottom w:val="single" w:sz="12" w:space="0" w:color="auto"/>
              <w:right w:val="single" w:sz="4" w:space="0" w:color="auto"/>
            </w:tcBorders>
            <w:shd w:val="clear" w:color="auto" w:fill="F2F2F2" w:themeFill="background1" w:themeFillShade="F2"/>
            <w:noWrap/>
            <w:vAlign w:val="center"/>
            <w:hideMark/>
          </w:tcPr>
          <w:p w:rsidR="00772822" w:rsidRPr="0020381D" w:rsidRDefault="00772822" w:rsidP="00C24362">
            <w:pPr>
              <w:jc w:val="center"/>
              <w:rPr>
                <w:b/>
                <w:color w:val="000000"/>
                <w:lang/>
              </w:rPr>
            </w:pPr>
          </w:p>
        </w:tc>
        <w:tc>
          <w:tcPr>
            <w:tcW w:w="1882" w:type="pct"/>
            <w:vMerge/>
            <w:tcBorders>
              <w:left w:val="nil"/>
              <w:bottom w:val="single" w:sz="12" w:space="0" w:color="auto"/>
              <w:right w:val="single" w:sz="4" w:space="0" w:color="auto"/>
            </w:tcBorders>
            <w:shd w:val="clear" w:color="auto" w:fill="F2F2F2" w:themeFill="background1" w:themeFillShade="F2"/>
            <w:noWrap/>
            <w:vAlign w:val="center"/>
            <w:hideMark/>
          </w:tcPr>
          <w:p w:rsidR="00772822" w:rsidRPr="0020381D" w:rsidRDefault="00772822" w:rsidP="00C24362">
            <w:pPr>
              <w:jc w:val="center"/>
              <w:rPr>
                <w:b/>
                <w:color w:val="000000"/>
                <w:lang/>
              </w:rPr>
            </w:pPr>
          </w:p>
        </w:tc>
        <w:tc>
          <w:tcPr>
            <w:tcW w:w="956" w:type="pct"/>
            <w:tcBorders>
              <w:top w:val="nil"/>
              <w:left w:val="nil"/>
              <w:bottom w:val="single" w:sz="12" w:space="0" w:color="auto"/>
              <w:right w:val="single" w:sz="4" w:space="0" w:color="auto"/>
            </w:tcBorders>
            <w:shd w:val="clear" w:color="auto" w:fill="F2F2F2" w:themeFill="background1" w:themeFillShade="F2"/>
            <w:noWrap/>
            <w:vAlign w:val="center"/>
            <w:hideMark/>
          </w:tcPr>
          <w:p w:rsidR="00772822" w:rsidRPr="0020381D" w:rsidRDefault="00772822" w:rsidP="00C24362">
            <w:pPr>
              <w:jc w:val="center"/>
              <w:rPr>
                <w:b/>
                <w:color w:val="000000"/>
                <w:lang/>
              </w:rPr>
            </w:pPr>
            <w:r w:rsidRPr="0020381D">
              <w:rPr>
                <w:b/>
                <w:color w:val="000000"/>
                <w:sz w:val="22"/>
                <w:szCs w:val="22"/>
                <w:lang/>
              </w:rPr>
              <w:t>MWh/m</w:t>
            </w:r>
          </w:p>
        </w:tc>
        <w:tc>
          <w:tcPr>
            <w:tcW w:w="1342" w:type="pct"/>
            <w:tcBorders>
              <w:top w:val="nil"/>
              <w:left w:val="nil"/>
              <w:bottom w:val="single" w:sz="12" w:space="0" w:color="auto"/>
              <w:right w:val="single" w:sz="12" w:space="0" w:color="auto"/>
            </w:tcBorders>
            <w:shd w:val="clear" w:color="auto" w:fill="F2F2F2" w:themeFill="background1" w:themeFillShade="F2"/>
            <w:noWrap/>
            <w:vAlign w:val="center"/>
            <w:hideMark/>
          </w:tcPr>
          <w:p w:rsidR="00772822" w:rsidRPr="0020381D" w:rsidRDefault="00772822" w:rsidP="00C24362">
            <w:pPr>
              <w:jc w:val="center"/>
              <w:rPr>
                <w:b/>
                <w:color w:val="000000"/>
                <w:lang/>
              </w:rPr>
            </w:pPr>
            <w:r w:rsidRPr="0020381D">
              <w:rPr>
                <w:b/>
                <w:color w:val="000000"/>
                <w:sz w:val="22"/>
                <w:szCs w:val="22"/>
                <w:lang/>
              </w:rPr>
              <w:t>MWh</w:t>
            </w:r>
          </w:p>
        </w:tc>
      </w:tr>
      <w:tr w:rsidR="00CB649E" w:rsidRPr="0020381D" w:rsidTr="00437124">
        <w:trPr>
          <w:trHeight w:val="300"/>
        </w:trPr>
        <w:tc>
          <w:tcPr>
            <w:tcW w:w="820"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p>
        </w:tc>
        <w:tc>
          <w:tcPr>
            <w:tcW w:w="1882" w:type="pct"/>
            <w:tcBorders>
              <w:top w:val="single" w:sz="12" w:space="0" w:color="auto"/>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Панчево</w:t>
            </w:r>
          </w:p>
        </w:tc>
        <w:tc>
          <w:tcPr>
            <w:tcW w:w="956" w:type="pct"/>
            <w:tcBorders>
              <w:top w:val="single" w:sz="12" w:space="0" w:color="auto"/>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88</w:t>
            </w:r>
          </w:p>
        </w:tc>
        <w:tc>
          <w:tcPr>
            <w:tcW w:w="1342" w:type="pct"/>
            <w:tcBorders>
              <w:top w:val="single" w:sz="12" w:space="0" w:color="auto"/>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46</w:t>
            </w:r>
            <w:r w:rsidR="00925B68">
              <w:rPr>
                <w:color w:val="000000"/>
                <w:sz w:val="22"/>
                <w:szCs w:val="22"/>
                <w:lang/>
              </w:rPr>
              <w:t>.</w:t>
            </w:r>
            <w:r w:rsidRPr="0020381D">
              <w:rPr>
                <w:color w:val="000000"/>
                <w:sz w:val="22"/>
                <w:szCs w:val="22"/>
                <w:lang/>
              </w:rPr>
              <w:t>084</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Суботица</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w:t>
            </w:r>
            <w:r w:rsidR="00925B68">
              <w:rPr>
                <w:color w:val="000000"/>
                <w:sz w:val="22"/>
                <w:szCs w:val="22"/>
                <w:lang/>
              </w:rPr>
              <w:t>,</w:t>
            </w:r>
            <w:r w:rsidRPr="0020381D">
              <w:rPr>
                <w:color w:val="000000"/>
                <w:sz w:val="22"/>
                <w:szCs w:val="22"/>
                <w:lang/>
              </w:rPr>
              <w:t>00</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24</w:t>
            </w:r>
            <w:r w:rsidR="00925B68">
              <w:rPr>
                <w:color w:val="000000"/>
                <w:sz w:val="22"/>
                <w:szCs w:val="22"/>
                <w:lang/>
              </w:rPr>
              <w:t>.</w:t>
            </w:r>
            <w:r w:rsidRPr="0020381D">
              <w:rPr>
                <w:color w:val="000000"/>
                <w:sz w:val="22"/>
                <w:szCs w:val="22"/>
                <w:lang/>
              </w:rPr>
              <w:t>081</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3</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Крушевац</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w:t>
            </w:r>
            <w:r w:rsidR="00925B68">
              <w:rPr>
                <w:color w:val="000000"/>
                <w:sz w:val="22"/>
                <w:szCs w:val="22"/>
                <w:lang/>
              </w:rPr>
              <w:t>,</w:t>
            </w:r>
            <w:r w:rsidRPr="0020381D">
              <w:rPr>
                <w:color w:val="000000"/>
                <w:sz w:val="22"/>
                <w:szCs w:val="22"/>
                <w:lang/>
              </w:rPr>
              <w:t>28</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11</w:t>
            </w:r>
            <w:r w:rsidR="00925B68">
              <w:rPr>
                <w:color w:val="000000"/>
                <w:sz w:val="22"/>
                <w:szCs w:val="22"/>
                <w:lang/>
              </w:rPr>
              <w:t>.</w:t>
            </w:r>
            <w:r w:rsidRPr="0020381D">
              <w:rPr>
                <w:color w:val="000000"/>
                <w:sz w:val="22"/>
                <w:szCs w:val="22"/>
                <w:lang/>
              </w:rPr>
              <w:t>559</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4</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Трстеник</w:t>
            </w:r>
            <w:r w:rsidR="00437124" w:rsidRPr="0020381D">
              <w:rPr>
                <w:sz w:val="22"/>
                <w:szCs w:val="22"/>
                <w:lang/>
              </w:rPr>
              <w:t>*</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0</w:t>
            </w:r>
            <w:r w:rsidR="00925B68">
              <w:rPr>
                <w:color w:val="000000"/>
                <w:sz w:val="22"/>
                <w:szCs w:val="22"/>
                <w:lang/>
              </w:rPr>
              <w:t>,</w:t>
            </w:r>
            <w:r w:rsidRPr="0020381D">
              <w:rPr>
                <w:color w:val="000000"/>
                <w:sz w:val="22"/>
                <w:szCs w:val="22"/>
                <w:lang/>
              </w:rPr>
              <w:t>95</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63</w:t>
            </w:r>
            <w:r w:rsidR="00925B68">
              <w:rPr>
                <w:color w:val="000000"/>
                <w:sz w:val="22"/>
                <w:szCs w:val="22"/>
                <w:lang/>
              </w:rPr>
              <w:t>.</w:t>
            </w:r>
            <w:r w:rsidRPr="0020381D">
              <w:rPr>
                <w:color w:val="000000"/>
                <w:sz w:val="22"/>
                <w:szCs w:val="22"/>
                <w:lang/>
              </w:rPr>
              <w:t>388</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5</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Пожаревац</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18</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248</w:t>
            </w:r>
            <w:r w:rsidR="00925B68">
              <w:rPr>
                <w:color w:val="000000"/>
                <w:sz w:val="22"/>
                <w:szCs w:val="22"/>
                <w:lang/>
              </w:rPr>
              <w:t>.</w:t>
            </w:r>
            <w:r w:rsidRPr="0020381D">
              <w:rPr>
                <w:color w:val="000000"/>
                <w:sz w:val="22"/>
                <w:szCs w:val="22"/>
                <w:lang/>
              </w:rPr>
              <w:t>023</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6</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Лазаревац</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46</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93</w:t>
            </w:r>
            <w:r w:rsidR="00925B68">
              <w:rPr>
                <w:color w:val="000000"/>
                <w:sz w:val="22"/>
                <w:szCs w:val="22"/>
                <w:lang/>
              </w:rPr>
              <w:t>.</w:t>
            </w:r>
            <w:r w:rsidRPr="0020381D">
              <w:rPr>
                <w:color w:val="000000"/>
                <w:sz w:val="22"/>
                <w:szCs w:val="22"/>
                <w:lang/>
              </w:rPr>
              <w:t>623</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7</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Сремска Митровица</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0</w:t>
            </w:r>
            <w:r w:rsidR="00925B68">
              <w:rPr>
                <w:color w:val="000000"/>
                <w:sz w:val="22"/>
                <w:szCs w:val="22"/>
                <w:lang/>
              </w:rPr>
              <w:t>,</w:t>
            </w:r>
            <w:r w:rsidRPr="0020381D">
              <w:rPr>
                <w:color w:val="000000"/>
                <w:sz w:val="22"/>
                <w:szCs w:val="22"/>
                <w:lang/>
              </w:rPr>
              <w:t>87</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80</w:t>
            </w:r>
            <w:r w:rsidR="00925B68">
              <w:rPr>
                <w:color w:val="000000"/>
                <w:sz w:val="22"/>
                <w:szCs w:val="22"/>
                <w:lang/>
              </w:rPr>
              <w:t>.</w:t>
            </w:r>
            <w:r w:rsidRPr="0020381D">
              <w:rPr>
                <w:color w:val="000000"/>
                <w:sz w:val="22"/>
                <w:szCs w:val="22"/>
                <w:lang/>
              </w:rPr>
              <w:t>001</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8</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Обреновац</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0</w:t>
            </w:r>
            <w:r w:rsidR="00925B68">
              <w:rPr>
                <w:color w:val="000000"/>
                <w:sz w:val="22"/>
                <w:szCs w:val="22"/>
                <w:lang/>
              </w:rPr>
              <w:t>,</w:t>
            </w:r>
            <w:r w:rsidRPr="0020381D">
              <w:rPr>
                <w:color w:val="000000"/>
                <w:sz w:val="22"/>
                <w:szCs w:val="22"/>
                <w:lang/>
              </w:rPr>
              <w:t>48</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050</w:t>
            </w:r>
            <w:r w:rsidR="00925B68">
              <w:rPr>
                <w:color w:val="000000"/>
                <w:sz w:val="22"/>
                <w:szCs w:val="22"/>
                <w:lang/>
              </w:rPr>
              <w:t>.</w:t>
            </w:r>
            <w:r w:rsidRPr="0020381D">
              <w:rPr>
                <w:color w:val="000000"/>
                <w:sz w:val="22"/>
                <w:szCs w:val="22"/>
                <w:lang/>
              </w:rPr>
              <w:t>829</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9</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Пирот</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0</w:t>
            </w:r>
            <w:r w:rsidR="00925B68">
              <w:rPr>
                <w:color w:val="000000"/>
                <w:sz w:val="22"/>
                <w:szCs w:val="22"/>
                <w:lang/>
              </w:rPr>
              <w:t>,</w:t>
            </w:r>
            <w:r w:rsidRPr="0020381D">
              <w:rPr>
                <w:color w:val="000000"/>
                <w:sz w:val="22"/>
                <w:szCs w:val="22"/>
                <w:lang/>
              </w:rPr>
              <w:t>99</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43</w:t>
            </w:r>
            <w:r w:rsidR="00925B68">
              <w:rPr>
                <w:color w:val="000000"/>
                <w:sz w:val="22"/>
                <w:szCs w:val="22"/>
                <w:lang/>
              </w:rPr>
              <w:t>.</w:t>
            </w:r>
            <w:r w:rsidRPr="0020381D">
              <w:rPr>
                <w:color w:val="000000"/>
                <w:sz w:val="22"/>
                <w:szCs w:val="22"/>
                <w:lang/>
              </w:rPr>
              <w:t>060</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10</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Сомбор</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29</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30</w:t>
            </w:r>
            <w:r w:rsidR="00925B68">
              <w:rPr>
                <w:color w:val="000000"/>
                <w:sz w:val="22"/>
                <w:szCs w:val="22"/>
                <w:lang/>
              </w:rPr>
              <w:t>.</w:t>
            </w:r>
            <w:r w:rsidRPr="0020381D">
              <w:rPr>
                <w:color w:val="000000"/>
                <w:sz w:val="22"/>
                <w:szCs w:val="22"/>
                <w:lang/>
              </w:rPr>
              <w:t>835</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11</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Бечеј</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0</w:t>
            </w:r>
            <w:r w:rsidR="00925B68">
              <w:rPr>
                <w:color w:val="000000"/>
                <w:sz w:val="22"/>
                <w:szCs w:val="22"/>
                <w:lang/>
              </w:rPr>
              <w:t>,</w:t>
            </w:r>
            <w:r w:rsidRPr="0020381D">
              <w:rPr>
                <w:color w:val="000000"/>
                <w:sz w:val="22"/>
                <w:szCs w:val="22"/>
                <w:lang/>
              </w:rPr>
              <w:t>59</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38</w:t>
            </w:r>
            <w:r w:rsidR="00925B68">
              <w:rPr>
                <w:color w:val="000000"/>
                <w:sz w:val="22"/>
                <w:szCs w:val="22"/>
                <w:lang/>
              </w:rPr>
              <w:t>.</w:t>
            </w:r>
            <w:r w:rsidRPr="0020381D">
              <w:rPr>
                <w:color w:val="000000"/>
                <w:sz w:val="22"/>
                <w:szCs w:val="22"/>
                <w:lang/>
              </w:rPr>
              <w:t>102</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12</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Нови Пазар</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w:t>
            </w:r>
            <w:r w:rsidR="00925B68">
              <w:rPr>
                <w:color w:val="000000"/>
                <w:sz w:val="22"/>
                <w:szCs w:val="22"/>
                <w:lang/>
              </w:rPr>
              <w:t>,</w:t>
            </w:r>
            <w:r w:rsidRPr="0020381D">
              <w:rPr>
                <w:color w:val="000000"/>
                <w:sz w:val="22"/>
                <w:szCs w:val="22"/>
                <w:lang/>
              </w:rPr>
              <w:t>37</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676</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13</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Нова Варош</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84</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3</w:t>
            </w:r>
            <w:r w:rsidR="00925B68">
              <w:rPr>
                <w:color w:val="000000"/>
                <w:sz w:val="22"/>
                <w:szCs w:val="22"/>
                <w:lang/>
              </w:rPr>
              <w:t>.</w:t>
            </w:r>
            <w:r w:rsidRPr="0020381D">
              <w:rPr>
                <w:color w:val="000000"/>
                <w:sz w:val="22"/>
                <w:szCs w:val="22"/>
                <w:lang/>
              </w:rPr>
              <w:t>143</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14</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Зајечар</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50</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20</w:t>
            </w:r>
            <w:r w:rsidR="00925B68">
              <w:rPr>
                <w:color w:val="000000"/>
                <w:sz w:val="22"/>
                <w:szCs w:val="22"/>
                <w:lang/>
              </w:rPr>
              <w:t>.</w:t>
            </w:r>
            <w:r w:rsidRPr="0020381D">
              <w:rPr>
                <w:color w:val="000000"/>
                <w:sz w:val="22"/>
                <w:szCs w:val="22"/>
                <w:lang/>
              </w:rPr>
              <w:t>876</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15</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Велика Плана</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w:t>
            </w:r>
            <w:r w:rsidR="00925B68">
              <w:rPr>
                <w:color w:val="000000"/>
                <w:sz w:val="22"/>
                <w:szCs w:val="22"/>
                <w:lang/>
              </w:rPr>
              <w:t>,</w:t>
            </w:r>
            <w:r w:rsidRPr="0020381D">
              <w:rPr>
                <w:color w:val="000000"/>
                <w:sz w:val="22"/>
                <w:szCs w:val="22"/>
                <w:lang/>
              </w:rPr>
              <w:t>30</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631</w:t>
            </w:r>
            <w:r w:rsidR="00925B68">
              <w:rPr>
                <w:color w:val="000000"/>
                <w:sz w:val="22"/>
                <w:szCs w:val="22"/>
                <w:lang/>
              </w:rPr>
              <w:t>,</w:t>
            </w:r>
            <w:r w:rsidRPr="0020381D">
              <w:rPr>
                <w:color w:val="000000"/>
                <w:sz w:val="22"/>
                <w:szCs w:val="22"/>
                <w:lang/>
              </w:rPr>
              <w:t>6</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16</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Ковин</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71</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5</w:t>
            </w:r>
            <w:r w:rsidR="00925B68">
              <w:rPr>
                <w:color w:val="000000"/>
                <w:sz w:val="22"/>
                <w:szCs w:val="22"/>
                <w:lang/>
              </w:rPr>
              <w:t>.</w:t>
            </w:r>
            <w:r w:rsidRPr="0020381D">
              <w:rPr>
                <w:color w:val="000000"/>
                <w:sz w:val="22"/>
                <w:szCs w:val="22"/>
                <w:lang/>
              </w:rPr>
              <w:t>133</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17</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Косјерић</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73</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550</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18</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Мали Зворник</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82</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370</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19</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Темерин</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w:t>
            </w:r>
            <w:r w:rsidR="00925B68">
              <w:rPr>
                <w:color w:val="000000"/>
                <w:sz w:val="22"/>
                <w:szCs w:val="22"/>
                <w:lang/>
              </w:rPr>
              <w:t>,</w:t>
            </w:r>
            <w:r w:rsidRPr="0020381D">
              <w:rPr>
                <w:color w:val="000000"/>
                <w:sz w:val="22"/>
                <w:szCs w:val="22"/>
                <w:lang/>
              </w:rPr>
              <w:t>04</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130</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20</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Србобран</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94</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212</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21</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Житиште</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01</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487</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22</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СтараПазова</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w:t>
            </w:r>
            <w:r w:rsidR="00925B68">
              <w:rPr>
                <w:color w:val="000000"/>
                <w:sz w:val="22"/>
                <w:szCs w:val="22"/>
                <w:lang/>
              </w:rPr>
              <w:t>,</w:t>
            </w:r>
            <w:r w:rsidRPr="0020381D">
              <w:rPr>
                <w:color w:val="000000"/>
                <w:sz w:val="22"/>
                <w:szCs w:val="22"/>
                <w:lang/>
              </w:rPr>
              <w:t>27</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530</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23</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Сента</w:t>
            </w:r>
            <w:r w:rsidR="00437124" w:rsidRPr="0020381D">
              <w:rPr>
                <w:sz w:val="22"/>
                <w:szCs w:val="22"/>
                <w:lang/>
              </w:rPr>
              <w:t>*</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0</w:t>
            </w:r>
            <w:r w:rsidR="00925B68">
              <w:rPr>
                <w:color w:val="000000"/>
                <w:sz w:val="22"/>
                <w:szCs w:val="22"/>
                <w:lang/>
              </w:rPr>
              <w:t>,</w:t>
            </w:r>
            <w:r w:rsidRPr="0020381D">
              <w:rPr>
                <w:color w:val="000000"/>
                <w:sz w:val="22"/>
                <w:szCs w:val="22"/>
                <w:lang/>
              </w:rPr>
              <w:t>70</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53</w:t>
            </w:r>
            <w:r w:rsidR="00925B68">
              <w:rPr>
                <w:color w:val="000000"/>
                <w:sz w:val="22"/>
                <w:szCs w:val="22"/>
                <w:lang/>
              </w:rPr>
              <w:t>.</w:t>
            </w:r>
            <w:r w:rsidRPr="0020381D">
              <w:rPr>
                <w:color w:val="000000"/>
                <w:sz w:val="22"/>
                <w:szCs w:val="22"/>
                <w:lang/>
              </w:rPr>
              <w:t>673</w:t>
            </w:r>
          </w:p>
        </w:tc>
      </w:tr>
      <w:tr w:rsidR="00CB649E" w:rsidRPr="0020381D" w:rsidTr="00437124">
        <w:trPr>
          <w:trHeight w:val="300"/>
        </w:trPr>
        <w:tc>
          <w:tcPr>
            <w:tcW w:w="820" w:type="pct"/>
            <w:tcBorders>
              <w:top w:val="nil"/>
              <w:left w:val="single" w:sz="12" w:space="0" w:color="auto"/>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24</w:t>
            </w:r>
          </w:p>
        </w:tc>
        <w:tc>
          <w:tcPr>
            <w:tcW w:w="1882" w:type="pct"/>
            <w:tcBorders>
              <w:top w:val="nil"/>
              <w:left w:val="nil"/>
              <w:bottom w:val="single" w:sz="4" w:space="0" w:color="auto"/>
              <w:right w:val="single" w:sz="4" w:space="0" w:color="auto"/>
            </w:tcBorders>
            <w:shd w:val="clear" w:color="auto" w:fill="auto"/>
            <w:noWrap/>
            <w:hideMark/>
          </w:tcPr>
          <w:p w:rsidR="00CB649E" w:rsidRPr="0020381D" w:rsidRDefault="00CB649E" w:rsidP="00C24362">
            <w:pPr>
              <w:jc w:val="center"/>
              <w:rPr>
                <w:color w:val="000000"/>
                <w:lang/>
              </w:rPr>
            </w:pPr>
            <w:r w:rsidRPr="0020381D">
              <w:rPr>
                <w:sz w:val="22"/>
                <w:szCs w:val="22"/>
                <w:lang/>
              </w:rPr>
              <w:t>Баточина</w:t>
            </w:r>
          </w:p>
        </w:tc>
        <w:tc>
          <w:tcPr>
            <w:tcW w:w="956" w:type="pct"/>
            <w:tcBorders>
              <w:top w:val="nil"/>
              <w:left w:val="nil"/>
              <w:bottom w:val="single" w:sz="4" w:space="0" w:color="auto"/>
              <w:right w:val="single" w:sz="4"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35</w:t>
            </w:r>
          </w:p>
        </w:tc>
        <w:tc>
          <w:tcPr>
            <w:tcW w:w="1342" w:type="pct"/>
            <w:tcBorders>
              <w:top w:val="nil"/>
              <w:left w:val="nil"/>
              <w:bottom w:val="single" w:sz="4" w:space="0" w:color="auto"/>
              <w:right w:val="single" w:sz="12" w:space="0" w:color="auto"/>
            </w:tcBorders>
            <w:shd w:val="clear" w:color="auto" w:fill="auto"/>
            <w:noWrap/>
            <w:vAlign w:val="center"/>
            <w:hideMark/>
          </w:tcPr>
          <w:p w:rsidR="00CB649E" w:rsidRPr="0020381D" w:rsidRDefault="00CB649E" w:rsidP="00C24362">
            <w:pPr>
              <w:jc w:val="center"/>
              <w:rPr>
                <w:color w:val="000000"/>
                <w:lang/>
              </w:rPr>
            </w:pPr>
            <w:r w:rsidRPr="0020381D">
              <w:rPr>
                <w:color w:val="000000"/>
                <w:sz w:val="22"/>
                <w:szCs w:val="22"/>
                <w:lang/>
              </w:rPr>
              <w:t>1</w:t>
            </w:r>
            <w:r w:rsidR="00925B68">
              <w:rPr>
                <w:color w:val="000000"/>
                <w:sz w:val="22"/>
                <w:szCs w:val="22"/>
                <w:lang/>
              </w:rPr>
              <w:t>.</w:t>
            </w:r>
            <w:r w:rsidRPr="0020381D">
              <w:rPr>
                <w:color w:val="000000"/>
                <w:sz w:val="22"/>
                <w:szCs w:val="22"/>
                <w:lang/>
              </w:rPr>
              <w:t>728</w:t>
            </w:r>
          </w:p>
        </w:tc>
      </w:tr>
    </w:tbl>
    <w:p w:rsidR="00772822" w:rsidRPr="0020381D" w:rsidRDefault="00437124" w:rsidP="00C24362">
      <w:pPr>
        <w:rPr>
          <w:sz w:val="22"/>
          <w:szCs w:val="22"/>
          <w:lang/>
        </w:rPr>
      </w:pPr>
      <w:r w:rsidRPr="0020381D">
        <w:rPr>
          <w:sz w:val="22"/>
          <w:szCs w:val="22"/>
          <w:lang/>
        </w:rPr>
        <w:t>*Теоретски потенцијал који практично није могуће реализовати</w:t>
      </w:r>
    </w:p>
    <w:p w:rsidR="00A63661" w:rsidRPr="00D52A15" w:rsidRDefault="00A63661" w:rsidP="00C24362">
      <w:pPr>
        <w:rPr>
          <w:rFonts w:cstheme="minorHAnsi"/>
          <w:lang/>
        </w:rPr>
      </w:pPr>
    </w:p>
    <w:p w:rsidR="00772822" w:rsidRPr="00D52A15" w:rsidRDefault="00A63661" w:rsidP="00C24362">
      <w:pPr>
        <w:rPr>
          <w:rFonts w:cstheme="minorHAnsi"/>
          <w:lang/>
        </w:rPr>
      </w:pPr>
      <w:r w:rsidRPr="00D52A15">
        <w:rPr>
          <w:rFonts w:cstheme="minorHAnsi"/>
          <w:lang/>
        </w:rPr>
        <w:t>3</w:t>
      </w:r>
      <w:r w:rsidRPr="00D52A15">
        <w:rPr>
          <w:lang/>
        </w:rPr>
        <w:t>.2 Потенцијал за в</w:t>
      </w:r>
      <w:r w:rsidR="005249F5" w:rsidRPr="00D52A15">
        <w:rPr>
          <w:lang/>
        </w:rPr>
        <w:t>исокоефикасн</w:t>
      </w:r>
      <w:r w:rsidRPr="00D52A15">
        <w:rPr>
          <w:lang/>
        </w:rPr>
        <w:t>у</w:t>
      </w:r>
      <w:r w:rsidR="005249F5" w:rsidRPr="00D52A15">
        <w:rPr>
          <w:lang/>
        </w:rPr>
        <w:t xml:space="preserve"> когенерациј</w:t>
      </w:r>
      <w:r w:rsidRPr="00D52A15">
        <w:rPr>
          <w:lang/>
        </w:rPr>
        <w:t>у</w:t>
      </w:r>
      <w:r w:rsidR="005249F5" w:rsidRPr="00D52A15">
        <w:rPr>
          <w:lang/>
        </w:rPr>
        <w:t xml:space="preserve"> на природни гас</w:t>
      </w:r>
    </w:p>
    <w:p w:rsidR="00A63661" w:rsidRPr="00D52A15" w:rsidRDefault="00A63661" w:rsidP="00C24362">
      <w:pPr>
        <w:rPr>
          <w:lang/>
        </w:rPr>
      </w:pPr>
    </w:p>
    <w:p w:rsidR="00772822" w:rsidRPr="00D52A15" w:rsidRDefault="00001978" w:rsidP="00C24362">
      <w:pPr>
        <w:rPr>
          <w:rFonts w:cstheme="minorHAnsi"/>
          <w:lang/>
        </w:rPr>
      </w:pPr>
      <w:r w:rsidRPr="00D52A15">
        <w:rPr>
          <w:rFonts w:cstheme="minorHAnsi"/>
          <w:lang/>
        </w:rPr>
        <w:t xml:space="preserve">Увођење високоефикасне когенерације у системе даљинског грејања може бити оправдано, само уколико се обезбеди потрошња топлотне енергије </w:t>
      </w:r>
      <w:r w:rsidR="00FE5B96" w:rsidRPr="00D52A15">
        <w:rPr>
          <w:rFonts w:cstheme="minorHAnsi"/>
          <w:lang/>
        </w:rPr>
        <w:t>током већег дела године</w:t>
      </w:r>
      <w:r w:rsidRPr="00D52A15">
        <w:rPr>
          <w:rFonts w:cstheme="minorHAnsi"/>
          <w:lang/>
        </w:rPr>
        <w:t>. Ово ј</w:t>
      </w:r>
      <w:r w:rsidR="00A47226" w:rsidRPr="00D52A15">
        <w:rPr>
          <w:rFonts w:cstheme="minorHAnsi"/>
          <w:lang/>
        </w:rPr>
        <w:t>е</w:t>
      </w:r>
      <w:r w:rsidRPr="00D52A15">
        <w:rPr>
          <w:rFonts w:cstheme="minorHAnsi"/>
          <w:lang/>
        </w:rPr>
        <w:t xml:space="preserve"> могуће постићи само у системима у којима постоје потрошачи који користе потрошну топлу воду у току целе године. Након разматрања постојећег стања зак</w:t>
      </w:r>
      <w:r w:rsidR="00A47226" w:rsidRPr="00D52A15">
        <w:rPr>
          <w:rFonts w:cstheme="minorHAnsi"/>
          <w:lang/>
        </w:rPr>
        <w:t>љ</w:t>
      </w:r>
      <w:r w:rsidRPr="00D52A15">
        <w:rPr>
          <w:rFonts w:cstheme="minorHAnsi"/>
          <w:lang/>
        </w:rPr>
        <w:t>учак је да је коген</w:t>
      </w:r>
      <w:r w:rsidR="005249F5" w:rsidRPr="00D52A15">
        <w:rPr>
          <w:rFonts w:cstheme="minorHAnsi"/>
          <w:lang/>
        </w:rPr>
        <w:t xml:space="preserve">ерацију </w:t>
      </w:r>
      <w:r w:rsidR="005249F5" w:rsidRPr="00D52A15">
        <w:rPr>
          <w:rFonts w:cstheme="minorHAnsi"/>
          <w:lang/>
        </w:rPr>
        <w:lastRenderedPageBreak/>
        <w:t>оправдано увести у Бору</w:t>
      </w:r>
      <w:r w:rsidR="00A63661" w:rsidRPr="00D52A15">
        <w:rPr>
          <w:rFonts w:cstheme="minorHAnsi"/>
          <w:lang/>
        </w:rPr>
        <w:t xml:space="preserve">, уз </w:t>
      </w:r>
      <w:r w:rsidR="005249F5" w:rsidRPr="00D52A15">
        <w:rPr>
          <w:rFonts w:cstheme="minorHAnsi"/>
          <w:lang/>
        </w:rPr>
        <w:t xml:space="preserve">прелазак са угља на природни гас. </w:t>
      </w:r>
      <w:r w:rsidR="00A47226" w:rsidRPr="00D52A15">
        <w:rPr>
          <w:rFonts w:cstheme="minorHAnsi"/>
          <w:lang/>
        </w:rPr>
        <w:t>Процењена т</w:t>
      </w:r>
      <w:r w:rsidR="005249F5" w:rsidRPr="00D52A15">
        <w:rPr>
          <w:rFonts w:cstheme="minorHAnsi"/>
          <w:lang/>
        </w:rPr>
        <w:t xml:space="preserve">оплотна снага </w:t>
      </w:r>
      <w:r w:rsidR="00A47226" w:rsidRPr="00D52A15">
        <w:rPr>
          <w:rFonts w:cstheme="minorHAnsi"/>
          <w:lang/>
        </w:rPr>
        <w:t xml:space="preserve">постројења </w:t>
      </w:r>
      <w:r w:rsidR="005249F5" w:rsidRPr="00D52A15">
        <w:rPr>
          <w:rFonts w:cstheme="minorHAnsi"/>
          <w:lang/>
        </w:rPr>
        <w:t xml:space="preserve">је 50 MWt, </w:t>
      </w:r>
      <w:r w:rsidR="00A47226" w:rsidRPr="00D52A15">
        <w:rPr>
          <w:rFonts w:cstheme="minorHAnsi"/>
          <w:lang/>
        </w:rPr>
        <w:t xml:space="preserve">а </w:t>
      </w:r>
      <w:r w:rsidR="005249F5" w:rsidRPr="00D52A15">
        <w:rPr>
          <w:rFonts w:cstheme="minorHAnsi"/>
          <w:lang/>
        </w:rPr>
        <w:t>годишња производња топлотне енергије 150 GWh.</w:t>
      </w:r>
    </w:p>
    <w:p w:rsidR="00772822" w:rsidRPr="00D52A15" w:rsidRDefault="00772822" w:rsidP="00C24362">
      <w:pPr>
        <w:rPr>
          <w:rFonts w:cstheme="minorHAnsi"/>
          <w:b/>
          <w:bCs/>
          <w:lang/>
        </w:rPr>
      </w:pPr>
    </w:p>
    <w:p w:rsidR="00772822" w:rsidRPr="0020381D" w:rsidRDefault="0020381D" w:rsidP="0020381D">
      <w:pPr>
        <w:rPr>
          <w:lang/>
        </w:rPr>
      </w:pPr>
      <w:r>
        <w:rPr>
          <w:lang w:val="en-US"/>
        </w:rPr>
        <w:t>3.3</w:t>
      </w:r>
      <w:r w:rsidR="00A63661" w:rsidRPr="0020381D">
        <w:rPr>
          <w:lang/>
        </w:rPr>
        <w:t>Потенцијал комуналног отпада</w:t>
      </w:r>
    </w:p>
    <w:p w:rsidR="005249F5" w:rsidRPr="00D52A15" w:rsidRDefault="005249F5" w:rsidP="00C24362">
      <w:pPr>
        <w:rPr>
          <w:lang/>
        </w:rPr>
      </w:pPr>
    </w:p>
    <w:p w:rsidR="005249F5" w:rsidRPr="005F1AFE" w:rsidRDefault="005249F5" w:rsidP="00C24362">
      <w:pPr>
        <w:rPr>
          <w:lang w:val="en-US"/>
        </w:rPr>
      </w:pPr>
      <w:r w:rsidRPr="00D52A15">
        <w:rPr>
          <w:lang/>
        </w:rPr>
        <w:t xml:space="preserve">Процењена снага </w:t>
      </w:r>
      <w:r w:rsidR="00A63661" w:rsidRPr="00D52A15">
        <w:rPr>
          <w:lang/>
        </w:rPr>
        <w:t>спалионица</w:t>
      </w:r>
      <w:r w:rsidR="00273D34" w:rsidRPr="00D52A15">
        <w:rPr>
          <w:lang/>
        </w:rPr>
        <w:t xml:space="preserve"> комуналн</w:t>
      </w:r>
      <w:r w:rsidR="00A63661" w:rsidRPr="00D52A15">
        <w:rPr>
          <w:lang/>
        </w:rPr>
        <w:t>ог</w:t>
      </w:r>
      <w:r w:rsidR="00273D34" w:rsidRPr="00D52A15">
        <w:rPr>
          <w:lang/>
        </w:rPr>
        <w:t xml:space="preserve"> отпад</w:t>
      </w:r>
      <w:r w:rsidR="00A63661" w:rsidRPr="00D52A15">
        <w:rPr>
          <w:lang/>
        </w:rPr>
        <w:t>а</w:t>
      </w:r>
      <w:r w:rsidRPr="00D52A15">
        <w:rPr>
          <w:lang/>
        </w:rPr>
        <w:t xml:space="preserve"> приказана ју у </w:t>
      </w:r>
      <w:r w:rsidR="00A47226" w:rsidRPr="00D52A15">
        <w:rPr>
          <w:lang/>
        </w:rPr>
        <w:t>Т</w:t>
      </w:r>
      <w:r w:rsidRPr="00D52A15">
        <w:rPr>
          <w:lang/>
        </w:rPr>
        <w:t xml:space="preserve">абели 2. </w:t>
      </w:r>
      <w:r w:rsidR="00A63661" w:rsidRPr="00D52A15">
        <w:rPr>
          <w:lang/>
        </w:rPr>
        <w:t>Процена је извршена на основу података приказ</w:t>
      </w:r>
      <w:r w:rsidR="00A63661" w:rsidRPr="0020381D">
        <w:rPr>
          <w:color w:val="000000" w:themeColor="text1"/>
          <w:lang/>
        </w:rPr>
        <w:t xml:space="preserve">аним у </w:t>
      </w:r>
      <w:r w:rsidR="00A63661" w:rsidRPr="0020381D">
        <w:rPr>
          <w:rFonts w:ascii="Times New Roman,Bold" w:hAnsi="Times New Roman,Bold"/>
          <w:color w:val="000000" w:themeColor="text1"/>
          <w:lang w:eastAsia="en-GB"/>
        </w:rPr>
        <w:t>Програму управљања отпадом</w:t>
      </w:r>
      <w:r w:rsidR="00A63661" w:rsidRPr="0020381D">
        <w:rPr>
          <w:rFonts w:ascii="Times New Roman,Bold" w:hAnsi="Times New Roman,Bold"/>
          <w:color w:val="000000" w:themeColor="text1"/>
          <w:lang w:eastAsia="en-GB"/>
        </w:rPr>
        <w:br/>
        <w:t>у Републици Србији за период 2022 – 2031. године</w:t>
      </w:r>
      <w:r w:rsidR="0020381D" w:rsidRPr="0020381D">
        <w:rPr>
          <w:lang w:val="en-US"/>
        </w:rPr>
        <w:t>[1</w:t>
      </w:r>
      <w:r w:rsidR="0053416E">
        <w:rPr>
          <w:lang w:val="en-US"/>
        </w:rPr>
        <w:t>1</w:t>
      </w:r>
      <w:r w:rsidR="0020381D" w:rsidRPr="0020381D">
        <w:rPr>
          <w:lang w:val="en-US"/>
        </w:rPr>
        <w:t>]</w:t>
      </w:r>
      <w:r w:rsidR="00A63661" w:rsidRPr="00D52A15">
        <w:rPr>
          <w:rFonts w:ascii="Times New Roman,Bold" w:hAnsi="Times New Roman,Bold"/>
          <w:color w:val="2D72B5"/>
          <w:lang w:eastAsia="en-GB"/>
        </w:rPr>
        <w:t xml:space="preserve">. </w:t>
      </w:r>
      <w:r w:rsidRPr="00D52A15">
        <w:rPr>
          <w:lang/>
        </w:rPr>
        <w:t>Поред Београда, као потенцијалне локације</w:t>
      </w:r>
      <w:r w:rsidR="00A63661" w:rsidRPr="00D52A15">
        <w:rPr>
          <w:lang/>
        </w:rPr>
        <w:t xml:space="preserve"> за изградњу спалионица</w:t>
      </w:r>
      <w:r w:rsidRPr="00D52A15">
        <w:rPr>
          <w:lang/>
        </w:rPr>
        <w:t xml:space="preserve"> идентификовани су Ниш и Крагујевац</w:t>
      </w:r>
      <w:r w:rsidR="00E64F14" w:rsidRPr="00D52A15">
        <w:rPr>
          <w:lang/>
        </w:rPr>
        <w:t xml:space="preserve"> (Табела </w:t>
      </w:r>
      <w:r w:rsidR="00A5597F">
        <w:rPr>
          <w:lang w:val="en-US"/>
        </w:rPr>
        <w:t>2</w:t>
      </w:r>
      <w:r w:rsidR="00E64F14" w:rsidRPr="00D52A15">
        <w:rPr>
          <w:lang/>
        </w:rPr>
        <w:t xml:space="preserve">). </w:t>
      </w:r>
      <w:r w:rsidR="00273D34" w:rsidRPr="00D52A15">
        <w:rPr>
          <w:lang/>
        </w:rPr>
        <w:t xml:space="preserve"> Процена је </w:t>
      </w:r>
      <w:r w:rsidR="00A5597F" w:rsidRPr="00D52A15">
        <w:rPr>
          <w:lang/>
        </w:rPr>
        <w:t>извршена</w:t>
      </w:r>
      <w:r w:rsidR="00273D34" w:rsidRPr="00D52A15">
        <w:rPr>
          <w:lang/>
        </w:rPr>
        <w:t xml:space="preserve"> на основу </w:t>
      </w:r>
      <w:r w:rsidR="00E64F14" w:rsidRPr="00D52A15">
        <w:rPr>
          <w:lang/>
        </w:rPr>
        <w:t xml:space="preserve">расположивих </w:t>
      </w:r>
      <w:r w:rsidR="00273D34" w:rsidRPr="00D52A15">
        <w:rPr>
          <w:lang/>
        </w:rPr>
        <w:t>техничких карактеристика постројења спалионице отпада Винча</w:t>
      </w:r>
      <w:r w:rsidR="005F1AFE">
        <w:rPr>
          <w:lang w:val="en-US"/>
        </w:rPr>
        <w:t xml:space="preserve"> [1</w:t>
      </w:r>
      <w:r w:rsidR="0053416E">
        <w:rPr>
          <w:lang w:val="en-US"/>
        </w:rPr>
        <w:t>2</w:t>
      </w:r>
      <w:r w:rsidR="005F1AFE">
        <w:rPr>
          <w:lang w:val="en-US"/>
        </w:rPr>
        <w:t>].</w:t>
      </w:r>
    </w:p>
    <w:p w:rsidR="00772822" w:rsidRPr="00D52A15" w:rsidRDefault="00772822" w:rsidP="00C24362">
      <w:pPr>
        <w:rPr>
          <w:lang/>
        </w:rPr>
      </w:pPr>
    </w:p>
    <w:p w:rsidR="00772822" w:rsidRPr="005F1AFE" w:rsidRDefault="00E64F14" w:rsidP="00C24362">
      <w:pPr>
        <w:pStyle w:val="Caption"/>
        <w:spacing w:after="0"/>
        <w:rPr>
          <w:rFonts w:ascii="Times New Roman" w:hAnsi="Times New Roman" w:cs="Times New Roman"/>
          <w:b w:val="0"/>
          <w:bCs w:val="0"/>
          <w:i/>
          <w:iCs/>
          <w:color w:val="000000" w:themeColor="text1"/>
          <w:sz w:val="24"/>
          <w:szCs w:val="24"/>
          <w:lang w:val="en-US"/>
        </w:rPr>
      </w:pPr>
      <w:r w:rsidRPr="00A5597F">
        <w:rPr>
          <w:rFonts w:ascii="Times New Roman" w:hAnsi="Times New Roman" w:cs="Times New Roman"/>
          <w:b w:val="0"/>
          <w:bCs w:val="0"/>
          <w:i/>
          <w:iCs/>
          <w:color w:val="000000" w:themeColor="text1"/>
          <w:sz w:val="24"/>
          <w:szCs w:val="24"/>
          <w:lang/>
        </w:rPr>
        <w:t xml:space="preserve">Табела </w:t>
      </w:r>
      <w:r w:rsidR="00A5597F">
        <w:rPr>
          <w:rFonts w:ascii="Times New Roman" w:hAnsi="Times New Roman" w:cs="Times New Roman"/>
          <w:b w:val="0"/>
          <w:bCs w:val="0"/>
          <w:i/>
          <w:iCs/>
          <w:color w:val="000000" w:themeColor="text1"/>
          <w:sz w:val="24"/>
          <w:szCs w:val="24"/>
          <w:lang w:val="en-US"/>
        </w:rPr>
        <w:t>2.</w:t>
      </w:r>
      <w:r w:rsidRPr="00A5597F">
        <w:rPr>
          <w:rFonts w:ascii="Times New Roman" w:hAnsi="Times New Roman" w:cs="Times New Roman"/>
          <w:b w:val="0"/>
          <w:bCs w:val="0"/>
          <w:i/>
          <w:iCs/>
          <w:color w:val="000000" w:themeColor="text1"/>
          <w:sz w:val="24"/>
          <w:szCs w:val="24"/>
          <w:lang/>
        </w:rPr>
        <w:t xml:space="preserve"> Технички потенцијал енергије произведене у спалионицама отпада</w:t>
      </w:r>
      <w:r w:rsidR="005F1AFE" w:rsidRPr="005F1AFE">
        <w:rPr>
          <w:rFonts w:ascii="Times New Roman" w:hAnsi="Times New Roman" w:cs="Times New Roman"/>
          <w:b w:val="0"/>
          <w:bCs w:val="0"/>
          <w:i/>
          <w:iCs/>
          <w:color w:val="000000" w:themeColor="text1"/>
          <w:sz w:val="24"/>
          <w:szCs w:val="24"/>
          <w:lang/>
        </w:rPr>
        <w:t>[1</w:t>
      </w:r>
      <w:r w:rsidR="0053416E">
        <w:rPr>
          <w:rFonts w:ascii="Times New Roman" w:hAnsi="Times New Roman" w:cs="Times New Roman"/>
          <w:b w:val="0"/>
          <w:bCs w:val="0"/>
          <w:i/>
          <w:iCs/>
          <w:color w:val="000000" w:themeColor="text1"/>
          <w:sz w:val="24"/>
          <w:szCs w:val="24"/>
          <w:lang w:val="en-US"/>
        </w:rPr>
        <w:t>0</w:t>
      </w:r>
      <w:r w:rsidR="005F1AFE" w:rsidRPr="005F1AFE">
        <w:rPr>
          <w:rFonts w:ascii="Times New Roman" w:hAnsi="Times New Roman" w:cs="Times New Roman"/>
          <w:b w:val="0"/>
          <w:bCs w:val="0"/>
          <w:i/>
          <w:iCs/>
          <w:color w:val="000000" w:themeColor="text1"/>
          <w:sz w:val="24"/>
          <w:szCs w:val="24"/>
          <w:lang/>
        </w:rPr>
        <w:t>]</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tblPr>
      <w:tblGrid>
        <w:gridCol w:w="1971"/>
        <w:gridCol w:w="1971"/>
        <w:gridCol w:w="1971"/>
        <w:gridCol w:w="1971"/>
        <w:gridCol w:w="1971"/>
      </w:tblGrid>
      <w:tr w:rsidR="00772822" w:rsidRPr="00D52A15" w:rsidTr="00772822">
        <w:tc>
          <w:tcPr>
            <w:tcW w:w="1000" w:type="pct"/>
            <w:vMerge w:val="restart"/>
            <w:tcBorders>
              <w:top w:val="single" w:sz="12" w:space="0" w:color="auto"/>
              <w:bottom w:val="single" w:sz="4" w:space="0" w:color="auto"/>
              <w:right w:val="single" w:sz="12" w:space="0" w:color="auto"/>
            </w:tcBorders>
            <w:shd w:val="clear" w:color="auto" w:fill="F2F2F2" w:themeFill="background1" w:themeFillShade="F2"/>
            <w:vAlign w:val="center"/>
          </w:tcPr>
          <w:p w:rsidR="00772822" w:rsidRPr="00A5597F" w:rsidRDefault="00E64F14" w:rsidP="00C24362">
            <w:pPr>
              <w:jc w:val="center"/>
              <w:rPr>
                <w:b/>
                <w:sz w:val="22"/>
                <w:szCs w:val="22"/>
                <w:lang/>
              </w:rPr>
            </w:pPr>
            <w:r w:rsidRPr="00A5597F">
              <w:rPr>
                <w:b/>
                <w:sz w:val="22"/>
                <w:szCs w:val="22"/>
                <w:lang/>
              </w:rPr>
              <w:t>Град</w:t>
            </w:r>
          </w:p>
        </w:tc>
        <w:tc>
          <w:tcPr>
            <w:tcW w:w="2000" w:type="pct"/>
            <w:gridSpan w:val="2"/>
            <w:tcBorders>
              <w:top w:val="single" w:sz="12" w:space="0" w:color="auto"/>
              <w:left w:val="single" w:sz="12" w:space="0" w:color="auto"/>
              <w:bottom w:val="single" w:sz="4" w:space="0" w:color="auto"/>
            </w:tcBorders>
            <w:shd w:val="clear" w:color="auto" w:fill="F2F2F2" w:themeFill="background1" w:themeFillShade="F2"/>
            <w:vAlign w:val="center"/>
          </w:tcPr>
          <w:p w:rsidR="00772822" w:rsidRPr="00A5597F" w:rsidRDefault="00E64F14" w:rsidP="00C24362">
            <w:pPr>
              <w:jc w:val="center"/>
              <w:rPr>
                <w:b/>
                <w:sz w:val="22"/>
                <w:szCs w:val="22"/>
                <w:lang/>
              </w:rPr>
            </w:pPr>
            <w:r w:rsidRPr="00A5597F">
              <w:rPr>
                <w:b/>
                <w:sz w:val="22"/>
                <w:szCs w:val="22"/>
                <w:lang/>
              </w:rPr>
              <w:t>Топлотна енергија</w:t>
            </w:r>
          </w:p>
        </w:tc>
        <w:tc>
          <w:tcPr>
            <w:tcW w:w="2000" w:type="pct"/>
            <w:gridSpan w:val="2"/>
            <w:tcBorders>
              <w:top w:val="single" w:sz="12" w:space="0" w:color="auto"/>
              <w:bottom w:val="single" w:sz="4" w:space="0" w:color="auto"/>
            </w:tcBorders>
            <w:shd w:val="clear" w:color="auto" w:fill="F2F2F2" w:themeFill="background1" w:themeFillShade="F2"/>
            <w:vAlign w:val="center"/>
          </w:tcPr>
          <w:p w:rsidR="00772822" w:rsidRPr="00A5597F" w:rsidRDefault="00E64F14" w:rsidP="00C24362">
            <w:pPr>
              <w:jc w:val="center"/>
              <w:rPr>
                <w:b/>
                <w:sz w:val="22"/>
                <w:szCs w:val="22"/>
                <w:lang/>
              </w:rPr>
            </w:pPr>
            <w:r w:rsidRPr="00A5597F">
              <w:rPr>
                <w:b/>
                <w:sz w:val="22"/>
                <w:szCs w:val="22"/>
                <w:lang/>
              </w:rPr>
              <w:t>Електрична енергија</w:t>
            </w:r>
          </w:p>
        </w:tc>
      </w:tr>
      <w:tr w:rsidR="00772822" w:rsidRPr="00D52A15" w:rsidTr="00772822">
        <w:tc>
          <w:tcPr>
            <w:tcW w:w="1000" w:type="pct"/>
            <w:vMerge/>
            <w:tcBorders>
              <w:top w:val="single" w:sz="4" w:space="0" w:color="auto"/>
              <w:bottom w:val="single" w:sz="12" w:space="0" w:color="auto"/>
              <w:right w:val="single" w:sz="12" w:space="0" w:color="auto"/>
            </w:tcBorders>
            <w:shd w:val="clear" w:color="auto" w:fill="F2F2F2" w:themeFill="background1" w:themeFillShade="F2"/>
            <w:vAlign w:val="center"/>
          </w:tcPr>
          <w:p w:rsidR="00772822" w:rsidRPr="00A5597F" w:rsidRDefault="00772822" w:rsidP="00C24362">
            <w:pPr>
              <w:jc w:val="center"/>
              <w:rPr>
                <w:b/>
                <w:sz w:val="22"/>
                <w:szCs w:val="22"/>
                <w:lang/>
              </w:rPr>
            </w:pPr>
          </w:p>
        </w:tc>
        <w:tc>
          <w:tcPr>
            <w:tcW w:w="1000" w:type="pct"/>
            <w:tcBorders>
              <w:top w:val="single" w:sz="4" w:space="0" w:color="auto"/>
              <w:left w:val="single" w:sz="12" w:space="0" w:color="auto"/>
              <w:bottom w:val="single" w:sz="12" w:space="0" w:color="auto"/>
            </w:tcBorders>
            <w:shd w:val="clear" w:color="auto" w:fill="F2F2F2" w:themeFill="background1" w:themeFillShade="F2"/>
            <w:vAlign w:val="center"/>
          </w:tcPr>
          <w:p w:rsidR="00772822" w:rsidRPr="00A5597F" w:rsidRDefault="00772822" w:rsidP="00C24362">
            <w:pPr>
              <w:jc w:val="center"/>
              <w:rPr>
                <w:b/>
                <w:sz w:val="22"/>
                <w:szCs w:val="22"/>
                <w:vertAlign w:val="subscript"/>
                <w:lang/>
              </w:rPr>
            </w:pPr>
            <w:r w:rsidRPr="00A5597F">
              <w:rPr>
                <w:b/>
                <w:sz w:val="22"/>
                <w:szCs w:val="22"/>
                <w:lang/>
              </w:rPr>
              <w:t>MW</w:t>
            </w:r>
            <w:r w:rsidRPr="00A5597F">
              <w:rPr>
                <w:b/>
                <w:sz w:val="22"/>
                <w:szCs w:val="22"/>
                <w:vertAlign w:val="subscript"/>
                <w:lang/>
              </w:rPr>
              <w:t>t</w:t>
            </w:r>
          </w:p>
        </w:tc>
        <w:tc>
          <w:tcPr>
            <w:tcW w:w="1000" w:type="pct"/>
            <w:tcBorders>
              <w:top w:val="single" w:sz="4" w:space="0" w:color="auto"/>
              <w:bottom w:val="single" w:sz="12" w:space="0" w:color="auto"/>
            </w:tcBorders>
            <w:shd w:val="clear" w:color="auto" w:fill="F2F2F2" w:themeFill="background1" w:themeFillShade="F2"/>
            <w:vAlign w:val="center"/>
          </w:tcPr>
          <w:p w:rsidR="00772822" w:rsidRPr="00A5597F" w:rsidRDefault="00772822" w:rsidP="00C24362">
            <w:pPr>
              <w:jc w:val="center"/>
              <w:rPr>
                <w:b/>
                <w:sz w:val="22"/>
                <w:szCs w:val="22"/>
                <w:lang/>
              </w:rPr>
            </w:pPr>
            <w:r w:rsidRPr="00A5597F">
              <w:rPr>
                <w:b/>
                <w:sz w:val="22"/>
                <w:szCs w:val="22"/>
                <w:lang/>
              </w:rPr>
              <w:t>GWh</w:t>
            </w:r>
          </w:p>
        </w:tc>
        <w:tc>
          <w:tcPr>
            <w:tcW w:w="1000" w:type="pct"/>
            <w:tcBorders>
              <w:top w:val="single" w:sz="4" w:space="0" w:color="auto"/>
              <w:bottom w:val="single" w:sz="12" w:space="0" w:color="auto"/>
            </w:tcBorders>
            <w:shd w:val="clear" w:color="auto" w:fill="F2F2F2" w:themeFill="background1" w:themeFillShade="F2"/>
            <w:vAlign w:val="center"/>
          </w:tcPr>
          <w:p w:rsidR="00772822" w:rsidRPr="00A5597F" w:rsidRDefault="00772822" w:rsidP="00C24362">
            <w:pPr>
              <w:jc w:val="center"/>
              <w:rPr>
                <w:b/>
                <w:sz w:val="22"/>
                <w:szCs w:val="22"/>
                <w:vertAlign w:val="subscript"/>
                <w:lang/>
              </w:rPr>
            </w:pPr>
            <w:r w:rsidRPr="00A5597F">
              <w:rPr>
                <w:b/>
                <w:sz w:val="22"/>
                <w:szCs w:val="22"/>
                <w:lang/>
              </w:rPr>
              <w:t>MW</w:t>
            </w:r>
            <w:r w:rsidRPr="00A5597F">
              <w:rPr>
                <w:b/>
                <w:sz w:val="22"/>
                <w:szCs w:val="22"/>
                <w:vertAlign w:val="subscript"/>
                <w:lang/>
              </w:rPr>
              <w:t>e</w:t>
            </w:r>
          </w:p>
        </w:tc>
        <w:tc>
          <w:tcPr>
            <w:tcW w:w="1000" w:type="pct"/>
            <w:tcBorders>
              <w:top w:val="single" w:sz="4" w:space="0" w:color="auto"/>
              <w:bottom w:val="single" w:sz="12" w:space="0" w:color="auto"/>
            </w:tcBorders>
            <w:shd w:val="clear" w:color="auto" w:fill="F2F2F2" w:themeFill="background1" w:themeFillShade="F2"/>
            <w:vAlign w:val="center"/>
          </w:tcPr>
          <w:p w:rsidR="00772822" w:rsidRPr="00A5597F" w:rsidRDefault="00772822" w:rsidP="00C24362">
            <w:pPr>
              <w:jc w:val="center"/>
              <w:rPr>
                <w:b/>
                <w:sz w:val="22"/>
                <w:szCs w:val="22"/>
                <w:lang/>
              </w:rPr>
            </w:pPr>
            <w:r w:rsidRPr="00A5597F">
              <w:rPr>
                <w:b/>
                <w:sz w:val="22"/>
                <w:szCs w:val="22"/>
                <w:lang/>
              </w:rPr>
              <w:t>GWh</w:t>
            </w:r>
          </w:p>
        </w:tc>
      </w:tr>
      <w:tr w:rsidR="00E64F14" w:rsidRPr="00D52A15" w:rsidTr="00B9143A">
        <w:tc>
          <w:tcPr>
            <w:tcW w:w="1000" w:type="pct"/>
            <w:tcBorders>
              <w:top w:val="single" w:sz="12" w:space="0" w:color="auto"/>
              <w:right w:val="single" w:sz="12" w:space="0" w:color="auto"/>
            </w:tcBorders>
            <w:shd w:val="clear" w:color="auto" w:fill="F2F2F2" w:themeFill="background1" w:themeFillShade="F2"/>
          </w:tcPr>
          <w:p w:rsidR="00E64F14" w:rsidRPr="00A5597F" w:rsidRDefault="00E64F14" w:rsidP="00C24362">
            <w:pPr>
              <w:jc w:val="center"/>
              <w:rPr>
                <w:sz w:val="22"/>
                <w:szCs w:val="22"/>
                <w:lang/>
              </w:rPr>
            </w:pPr>
            <w:r w:rsidRPr="00A5597F">
              <w:rPr>
                <w:sz w:val="22"/>
                <w:szCs w:val="22"/>
                <w:lang/>
              </w:rPr>
              <w:t>Београд</w:t>
            </w:r>
          </w:p>
        </w:tc>
        <w:tc>
          <w:tcPr>
            <w:tcW w:w="1000" w:type="pct"/>
            <w:tcBorders>
              <w:top w:val="single" w:sz="12" w:space="0" w:color="auto"/>
              <w:left w:val="single" w:sz="12" w:space="0" w:color="auto"/>
            </w:tcBorders>
            <w:vAlign w:val="center"/>
          </w:tcPr>
          <w:p w:rsidR="00E64F14" w:rsidRPr="00A5597F" w:rsidRDefault="00E64F14" w:rsidP="00C24362">
            <w:pPr>
              <w:jc w:val="center"/>
              <w:rPr>
                <w:sz w:val="22"/>
                <w:szCs w:val="22"/>
                <w:lang/>
              </w:rPr>
            </w:pPr>
            <w:r w:rsidRPr="00A5597F">
              <w:rPr>
                <w:sz w:val="22"/>
                <w:szCs w:val="22"/>
                <w:lang/>
              </w:rPr>
              <w:t>56</w:t>
            </w:r>
            <w:r w:rsidR="00925B68">
              <w:rPr>
                <w:sz w:val="22"/>
                <w:szCs w:val="22"/>
                <w:lang/>
              </w:rPr>
              <w:t>,</w:t>
            </w:r>
            <w:r w:rsidRPr="00A5597F">
              <w:rPr>
                <w:sz w:val="22"/>
                <w:szCs w:val="22"/>
                <w:lang/>
              </w:rPr>
              <w:t>5</w:t>
            </w:r>
          </w:p>
        </w:tc>
        <w:tc>
          <w:tcPr>
            <w:tcW w:w="1000" w:type="pct"/>
            <w:tcBorders>
              <w:top w:val="single" w:sz="12" w:space="0" w:color="auto"/>
            </w:tcBorders>
            <w:vAlign w:val="center"/>
          </w:tcPr>
          <w:p w:rsidR="00E64F14" w:rsidRPr="00A5597F" w:rsidRDefault="00E64F14" w:rsidP="00C24362">
            <w:pPr>
              <w:jc w:val="center"/>
              <w:rPr>
                <w:sz w:val="22"/>
                <w:szCs w:val="22"/>
                <w:lang/>
              </w:rPr>
            </w:pPr>
            <w:r w:rsidRPr="00A5597F">
              <w:rPr>
                <w:sz w:val="22"/>
                <w:szCs w:val="22"/>
                <w:lang/>
              </w:rPr>
              <w:t>200</w:t>
            </w:r>
          </w:p>
        </w:tc>
        <w:tc>
          <w:tcPr>
            <w:tcW w:w="1000" w:type="pct"/>
            <w:tcBorders>
              <w:top w:val="single" w:sz="12" w:space="0" w:color="auto"/>
            </w:tcBorders>
            <w:vAlign w:val="center"/>
          </w:tcPr>
          <w:p w:rsidR="00E64F14" w:rsidRPr="00A5597F" w:rsidRDefault="00E64F14" w:rsidP="00C24362">
            <w:pPr>
              <w:jc w:val="center"/>
              <w:rPr>
                <w:sz w:val="22"/>
                <w:szCs w:val="22"/>
                <w:lang/>
              </w:rPr>
            </w:pPr>
            <w:r w:rsidRPr="00A5597F">
              <w:rPr>
                <w:sz w:val="22"/>
                <w:szCs w:val="22"/>
                <w:lang/>
              </w:rPr>
              <w:t>25</w:t>
            </w:r>
          </w:p>
        </w:tc>
        <w:tc>
          <w:tcPr>
            <w:tcW w:w="1000" w:type="pct"/>
            <w:tcBorders>
              <w:top w:val="single" w:sz="12" w:space="0" w:color="auto"/>
            </w:tcBorders>
            <w:vAlign w:val="center"/>
          </w:tcPr>
          <w:p w:rsidR="00E64F14" w:rsidRPr="00A5597F" w:rsidRDefault="00E64F14" w:rsidP="00C24362">
            <w:pPr>
              <w:jc w:val="center"/>
              <w:rPr>
                <w:sz w:val="22"/>
                <w:szCs w:val="22"/>
                <w:lang/>
              </w:rPr>
            </w:pPr>
            <w:r w:rsidRPr="00A5597F">
              <w:rPr>
                <w:sz w:val="22"/>
                <w:szCs w:val="22"/>
                <w:lang/>
              </w:rPr>
              <w:t>175</w:t>
            </w:r>
          </w:p>
        </w:tc>
      </w:tr>
      <w:tr w:rsidR="00E64F14" w:rsidRPr="00D52A15" w:rsidTr="00B9143A">
        <w:tc>
          <w:tcPr>
            <w:tcW w:w="1000" w:type="pct"/>
            <w:tcBorders>
              <w:right w:val="single" w:sz="12" w:space="0" w:color="auto"/>
            </w:tcBorders>
            <w:shd w:val="clear" w:color="auto" w:fill="F2F2F2" w:themeFill="background1" w:themeFillShade="F2"/>
          </w:tcPr>
          <w:p w:rsidR="00E64F14" w:rsidRPr="00A5597F" w:rsidRDefault="00E64F14" w:rsidP="00C24362">
            <w:pPr>
              <w:jc w:val="center"/>
              <w:rPr>
                <w:sz w:val="22"/>
                <w:szCs w:val="22"/>
                <w:lang/>
              </w:rPr>
            </w:pPr>
            <w:r w:rsidRPr="00A5597F">
              <w:rPr>
                <w:sz w:val="22"/>
                <w:szCs w:val="22"/>
                <w:lang/>
              </w:rPr>
              <w:t>Ниш</w:t>
            </w:r>
          </w:p>
        </w:tc>
        <w:tc>
          <w:tcPr>
            <w:tcW w:w="1000" w:type="pct"/>
            <w:tcBorders>
              <w:left w:val="single" w:sz="12" w:space="0" w:color="auto"/>
            </w:tcBorders>
            <w:vAlign w:val="center"/>
          </w:tcPr>
          <w:p w:rsidR="00E64F14" w:rsidRPr="00A5597F" w:rsidRDefault="00E64F14" w:rsidP="00C24362">
            <w:pPr>
              <w:jc w:val="center"/>
              <w:rPr>
                <w:sz w:val="22"/>
                <w:szCs w:val="22"/>
                <w:lang/>
              </w:rPr>
            </w:pPr>
            <w:r w:rsidRPr="00A5597F">
              <w:rPr>
                <w:sz w:val="22"/>
                <w:szCs w:val="22"/>
                <w:lang/>
              </w:rPr>
              <w:t>27</w:t>
            </w:r>
            <w:r w:rsidR="00925B68">
              <w:rPr>
                <w:sz w:val="22"/>
                <w:szCs w:val="22"/>
                <w:lang/>
              </w:rPr>
              <w:t>,</w:t>
            </w:r>
            <w:r w:rsidRPr="00A5597F">
              <w:rPr>
                <w:sz w:val="22"/>
                <w:szCs w:val="22"/>
                <w:lang/>
              </w:rPr>
              <w:t>4</w:t>
            </w:r>
          </w:p>
        </w:tc>
        <w:tc>
          <w:tcPr>
            <w:tcW w:w="1000" w:type="pct"/>
            <w:vAlign w:val="center"/>
          </w:tcPr>
          <w:p w:rsidR="00E64F14" w:rsidRPr="00A5597F" w:rsidRDefault="00E64F14" w:rsidP="00C24362">
            <w:pPr>
              <w:jc w:val="center"/>
              <w:rPr>
                <w:sz w:val="22"/>
                <w:szCs w:val="22"/>
                <w:lang/>
              </w:rPr>
            </w:pPr>
            <w:r w:rsidRPr="00A5597F">
              <w:rPr>
                <w:sz w:val="22"/>
                <w:szCs w:val="22"/>
                <w:lang/>
              </w:rPr>
              <w:t>97</w:t>
            </w:r>
          </w:p>
        </w:tc>
        <w:tc>
          <w:tcPr>
            <w:tcW w:w="1000" w:type="pct"/>
            <w:vAlign w:val="center"/>
          </w:tcPr>
          <w:p w:rsidR="00E64F14" w:rsidRPr="00A5597F" w:rsidRDefault="00E64F14" w:rsidP="00C24362">
            <w:pPr>
              <w:jc w:val="center"/>
              <w:rPr>
                <w:sz w:val="22"/>
                <w:szCs w:val="22"/>
                <w:lang/>
              </w:rPr>
            </w:pPr>
            <w:r w:rsidRPr="00A5597F">
              <w:rPr>
                <w:sz w:val="22"/>
                <w:szCs w:val="22"/>
                <w:lang/>
              </w:rPr>
              <w:t>12</w:t>
            </w:r>
          </w:p>
        </w:tc>
        <w:tc>
          <w:tcPr>
            <w:tcW w:w="1000" w:type="pct"/>
            <w:vAlign w:val="center"/>
          </w:tcPr>
          <w:p w:rsidR="00E64F14" w:rsidRPr="00A5597F" w:rsidRDefault="00E64F14" w:rsidP="00C24362">
            <w:pPr>
              <w:jc w:val="center"/>
              <w:rPr>
                <w:sz w:val="22"/>
                <w:szCs w:val="22"/>
                <w:lang/>
              </w:rPr>
            </w:pPr>
            <w:r w:rsidRPr="00A5597F">
              <w:rPr>
                <w:sz w:val="22"/>
                <w:szCs w:val="22"/>
                <w:lang/>
              </w:rPr>
              <w:t>85</w:t>
            </w:r>
          </w:p>
        </w:tc>
      </w:tr>
      <w:tr w:rsidR="00E64F14" w:rsidRPr="00D52A15" w:rsidTr="00B9143A">
        <w:tc>
          <w:tcPr>
            <w:tcW w:w="1000" w:type="pct"/>
            <w:tcBorders>
              <w:bottom w:val="single" w:sz="4" w:space="0" w:color="auto"/>
              <w:right w:val="single" w:sz="12" w:space="0" w:color="auto"/>
            </w:tcBorders>
            <w:shd w:val="clear" w:color="auto" w:fill="F2F2F2" w:themeFill="background1" w:themeFillShade="F2"/>
          </w:tcPr>
          <w:p w:rsidR="00E64F14" w:rsidRPr="00A5597F" w:rsidRDefault="00E64F14" w:rsidP="00C24362">
            <w:pPr>
              <w:jc w:val="center"/>
              <w:rPr>
                <w:sz w:val="22"/>
                <w:szCs w:val="22"/>
                <w:lang/>
              </w:rPr>
            </w:pPr>
            <w:r w:rsidRPr="00A5597F">
              <w:rPr>
                <w:sz w:val="22"/>
                <w:szCs w:val="22"/>
                <w:lang/>
              </w:rPr>
              <w:t>Крагујевац</w:t>
            </w:r>
          </w:p>
        </w:tc>
        <w:tc>
          <w:tcPr>
            <w:tcW w:w="1000" w:type="pct"/>
            <w:tcBorders>
              <w:left w:val="single" w:sz="12" w:space="0" w:color="auto"/>
              <w:bottom w:val="single" w:sz="4" w:space="0" w:color="auto"/>
            </w:tcBorders>
            <w:vAlign w:val="center"/>
          </w:tcPr>
          <w:p w:rsidR="00E64F14" w:rsidRPr="00A5597F" w:rsidRDefault="00E64F14" w:rsidP="00C24362">
            <w:pPr>
              <w:jc w:val="center"/>
              <w:rPr>
                <w:sz w:val="22"/>
                <w:szCs w:val="22"/>
                <w:lang/>
              </w:rPr>
            </w:pPr>
            <w:r w:rsidRPr="00A5597F">
              <w:rPr>
                <w:sz w:val="22"/>
                <w:szCs w:val="22"/>
                <w:lang/>
              </w:rPr>
              <w:t>24</w:t>
            </w:r>
            <w:r w:rsidR="00925B68">
              <w:rPr>
                <w:sz w:val="22"/>
                <w:szCs w:val="22"/>
                <w:lang/>
              </w:rPr>
              <w:t>,</w:t>
            </w:r>
            <w:r w:rsidRPr="00A5597F">
              <w:rPr>
                <w:sz w:val="22"/>
                <w:szCs w:val="22"/>
                <w:lang/>
              </w:rPr>
              <w:t>9</w:t>
            </w:r>
          </w:p>
        </w:tc>
        <w:tc>
          <w:tcPr>
            <w:tcW w:w="1000" w:type="pct"/>
            <w:tcBorders>
              <w:bottom w:val="single" w:sz="4" w:space="0" w:color="auto"/>
            </w:tcBorders>
            <w:vAlign w:val="center"/>
          </w:tcPr>
          <w:p w:rsidR="00E64F14" w:rsidRPr="00A5597F" w:rsidRDefault="00E64F14" w:rsidP="00C24362">
            <w:pPr>
              <w:jc w:val="center"/>
              <w:rPr>
                <w:sz w:val="22"/>
                <w:szCs w:val="22"/>
                <w:lang/>
              </w:rPr>
            </w:pPr>
            <w:r w:rsidRPr="00A5597F">
              <w:rPr>
                <w:sz w:val="22"/>
                <w:szCs w:val="22"/>
                <w:lang/>
              </w:rPr>
              <w:t>88</w:t>
            </w:r>
          </w:p>
        </w:tc>
        <w:tc>
          <w:tcPr>
            <w:tcW w:w="1000" w:type="pct"/>
            <w:tcBorders>
              <w:bottom w:val="single" w:sz="4" w:space="0" w:color="auto"/>
            </w:tcBorders>
            <w:vAlign w:val="center"/>
          </w:tcPr>
          <w:p w:rsidR="00E64F14" w:rsidRPr="00A5597F" w:rsidRDefault="00E64F14" w:rsidP="00C24362">
            <w:pPr>
              <w:jc w:val="center"/>
              <w:rPr>
                <w:sz w:val="22"/>
                <w:szCs w:val="22"/>
                <w:lang/>
              </w:rPr>
            </w:pPr>
            <w:r w:rsidRPr="00A5597F">
              <w:rPr>
                <w:sz w:val="22"/>
                <w:szCs w:val="22"/>
                <w:lang/>
              </w:rPr>
              <w:t>11</w:t>
            </w:r>
          </w:p>
        </w:tc>
        <w:tc>
          <w:tcPr>
            <w:tcW w:w="1000" w:type="pct"/>
            <w:tcBorders>
              <w:bottom w:val="single" w:sz="4" w:space="0" w:color="auto"/>
            </w:tcBorders>
            <w:vAlign w:val="center"/>
          </w:tcPr>
          <w:p w:rsidR="00E64F14" w:rsidRPr="00A5597F" w:rsidRDefault="00E64F14" w:rsidP="00C24362">
            <w:pPr>
              <w:jc w:val="center"/>
              <w:rPr>
                <w:sz w:val="22"/>
                <w:szCs w:val="22"/>
                <w:lang/>
              </w:rPr>
            </w:pPr>
            <w:r w:rsidRPr="00A5597F">
              <w:rPr>
                <w:sz w:val="22"/>
                <w:szCs w:val="22"/>
                <w:lang/>
              </w:rPr>
              <w:t>77</w:t>
            </w:r>
          </w:p>
        </w:tc>
      </w:tr>
      <w:tr w:rsidR="00E64F14" w:rsidRPr="00D52A15" w:rsidTr="00B9143A">
        <w:tc>
          <w:tcPr>
            <w:tcW w:w="1000" w:type="pct"/>
            <w:tcBorders>
              <w:top w:val="single" w:sz="4" w:space="0" w:color="auto"/>
              <w:bottom w:val="single" w:sz="12" w:space="0" w:color="auto"/>
              <w:right w:val="single" w:sz="12" w:space="0" w:color="auto"/>
            </w:tcBorders>
            <w:shd w:val="clear" w:color="auto" w:fill="F2F2F2" w:themeFill="background1" w:themeFillShade="F2"/>
          </w:tcPr>
          <w:p w:rsidR="00E64F14" w:rsidRPr="00A5597F" w:rsidRDefault="00E64F14" w:rsidP="00C24362">
            <w:pPr>
              <w:jc w:val="center"/>
              <w:rPr>
                <w:b/>
                <w:sz w:val="22"/>
                <w:szCs w:val="22"/>
                <w:lang/>
              </w:rPr>
            </w:pPr>
            <w:r w:rsidRPr="00A5597F">
              <w:rPr>
                <w:sz w:val="22"/>
                <w:szCs w:val="22"/>
                <w:lang/>
              </w:rPr>
              <w:t>Укупно</w:t>
            </w:r>
          </w:p>
        </w:tc>
        <w:tc>
          <w:tcPr>
            <w:tcW w:w="1000" w:type="pct"/>
            <w:tcBorders>
              <w:top w:val="single" w:sz="4" w:space="0" w:color="auto"/>
              <w:left w:val="single" w:sz="12" w:space="0" w:color="auto"/>
              <w:bottom w:val="single" w:sz="12" w:space="0" w:color="auto"/>
            </w:tcBorders>
            <w:vAlign w:val="center"/>
          </w:tcPr>
          <w:p w:rsidR="00E64F14" w:rsidRPr="00A5597F" w:rsidRDefault="00E64F14" w:rsidP="00C24362">
            <w:pPr>
              <w:jc w:val="center"/>
              <w:rPr>
                <w:b/>
                <w:sz w:val="22"/>
                <w:szCs w:val="22"/>
                <w:lang/>
              </w:rPr>
            </w:pPr>
            <w:r w:rsidRPr="00A5597F">
              <w:rPr>
                <w:b/>
                <w:sz w:val="22"/>
                <w:szCs w:val="22"/>
                <w:lang/>
              </w:rPr>
              <w:t>108</w:t>
            </w:r>
            <w:r w:rsidR="00925B68">
              <w:rPr>
                <w:b/>
                <w:sz w:val="22"/>
                <w:szCs w:val="22"/>
                <w:lang/>
              </w:rPr>
              <w:t>,</w:t>
            </w:r>
            <w:r w:rsidRPr="00A5597F">
              <w:rPr>
                <w:b/>
                <w:sz w:val="22"/>
                <w:szCs w:val="22"/>
                <w:lang/>
              </w:rPr>
              <w:t>8</w:t>
            </w:r>
          </w:p>
        </w:tc>
        <w:tc>
          <w:tcPr>
            <w:tcW w:w="1000" w:type="pct"/>
            <w:tcBorders>
              <w:top w:val="single" w:sz="4" w:space="0" w:color="auto"/>
              <w:bottom w:val="single" w:sz="12" w:space="0" w:color="auto"/>
            </w:tcBorders>
            <w:vAlign w:val="center"/>
          </w:tcPr>
          <w:p w:rsidR="00E64F14" w:rsidRPr="00A5597F" w:rsidRDefault="00E64F14" w:rsidP="00C24362">
            <w:pPr>
              <w:jc w:val="center"/>
              <w:rPr>
                <w:b/>
                <w:sz w:val="22"/>
                <w:szCs w:val="22"/>
                <w:lang/>
              </w:rPr>
            </w:pPr>
            <w:r w:rsidRPr="00A5597F">
              <w:rPr>
                <w:b/>
                <w:sz w:val="22"/>
                <w:szCs w:val="22"/>
                <w:lang/>
              </w:rPr>
              <w:t>385</w:t>
            </w:r>
          </w:p>
        </w:tc>
        <w:tc>
          <w:tcPr>
            <w:tcW w:w="1000" w:type="pct"/>
            <w:tcBorders>
              <w:top w:val="single" w:sz="4" w:space="0" w:color="auto"/>
              <w:bottom w:val="single" w:sz="12" w:space="0" w:color="auto"/>
            </w:tcBorders>
            <w:vAlign w:val="center"/>
          </w:tcPr>
          <w:p w:rsidR="00E64F14" w:rsidRPr="00A5597F" w:rsidRDefault="00E64F14" w:rsidP="00C24362">
            <w:pPr>
              <w:jc w:val="center"/>
              <w:rPr>
                <w:b/>
                <w:sz w:val="22"/>
                <w:szCs w:val="22"/>
                <w:lang/>
              </w:rPr>
            </w:pPr>
            <w:r w:rsidRPr="00A5597F">
              <w:rPr>
                <w:b/>
                <w:sz w:val="22"/>
                <w:szCs w:val="22"/>
                <w:lang/>
              </w:rPr>
              <w:t>48</w:t>
            </w:r>
          </w:p>
        </w:tc>
        <w:tc>
          <w:tcPr>
            <w:tcW w:w="1000" w:type="pct"/>
            <w:tcBorders>
              <w:top w:val="single" w:sz="4" w:space="0" w:color="auto"/>
              <w:bottom w:val="single" w:sz="12" w:space="0" w:color="auto"/>
            </w:tcBorders>
            <w:vAlign w:val="center"/>
          </w:tcPr>
          <w:p w:rsidR="00E64F14" w:rsidRPr="00A5597F" w:rsidRDefault="00E64F14" w:rsidP="00C24362">
            <w:pPr>
              <w:jc w:val="center"/>
              <w:rPr>
                <w:b/>
                <w:sz w:val="22"/>
                <w:szCs w:val="22"/>
                <w:lang/>
              </w:rPr>
            </w:pPr>
            <w:r w:rsidRPr="00A5597F">
              <w:rPr>
                <w:b/>
                <w:sz w:val="22"/>
                <w:szCs w:val="22"/>
                <w:lang/>
              </w:rPr>
              <w:t>337</w:t>
            </w:r>
          </w:p>
        </w:tc>
      </w:tr>
    </w:tbl>
    <w:p w:rsidR="00772822" w:rsidRPr="00D52A15" w:rsidRDefault="00772822" w:rsidP="00C24362">
      <w:pPr>
        <w:rPr>
          <w:lang/>
        </w:rPr>
      </w:pPr>
    </w:p>
    <w:p w:rsidR="00772822" w:rsidRPr="00A5597F" w:rsidRDefault="00A5597F" w:rsidP="00A5597F">
      <w:pPr>
        <w:rPr>
          <w:lang/>
        </w:rPr>
      </w:pPr>
      <w:r>
        <w:rPr>
          <w:lang w:val="en-US"/>
        </w:rPr>
        <w:t>3.4</w:t>
      </w:r>
      <w:r w:rsidR="00273D34" w:rsidRPr="00A5597F">
        <w:rPr>
          <w:lang/>
        </w:rPr>
        <w:t>Потенцијал за коришћење биомасе</w:t>
      </w:r>
    </w:p>
    <w:p w:rsidR="00772822" w:rsidRPr="00D52A15" w:rsidRDefault="00772822" w:rsidP="00C24362">
      <w:pPr>
        <w:rPr>
          <w:lang/>
        </w:rPr>
      </w:pPr>
    </w:p>
    <w:p w:rsidR="005E0B56" w:rsidRPr="00D52A15" w:rsidRDefault="00E64F14" w:rsidP="00C24362">
      <w:pPr>
        <w:rPr>
          <w:lang/>
        </w:rPr>
      </w:pPr>
      <w:r w:rsidRPr="00D52A15">
        <w:rPr>
          <w:lang/>
        </w:rPr>
        <w:t xml:space="preserve">Потенцијал биомасе одређен је на основу података објављеним у извештајима Републичког завода за статистику, по регионима и општинама. План </w:t>
      </w:r>
      <w:r w:rsidR="00551162" w:rsidRPr="00D52A15">
        <w:rPr>
          <w:lang/>
        </w:rPr>
        <w:t xml:space="preserve">увођења биомасе у производњу топлотне енергиједо 2030. </w:t>
      </w:r>
      <w:r w:rsidRPr="00D52A15">
        <w:rPr>
          <w:lang/>
        </w:rPr>
        <w:t xml:space="preserve">године приказан је </w:t>
      </w:r>
      <w:r w:rsidR="00F165E9">
        <w:rPr>
          <w:lang/>
        </w:rPr>
        <w:t>у</w:t>
      </w:r>
      <w:r w:rsidR="00FE2C1F" w:rsidRPr="00D52A15">
        <w:rPr>
          <w:lang/>
        </w:rPr>
        <w:t>Табел</w:t>
      </w:r>
      <w:r w:rsidRPr="00D52A15">
        <w:rPr>
          <w:lang/>
        </w:rPr>
        <w:t xml:space="preserve">и </w:t>
      </w:r>
      <w:r w:rsidR="00A5597F">
        <w:rPr>
          <w:lang w:val="en-US"/>
        </w:rPr>
        <w:t>3</w:t>
      </w:r>
      <w:r w:rsidR="00FE2C1F" w:rsidRPr="00D52A15">
        <w:rPr>
          <w:lang/>
        </w:rPr>
        <w:t>. Процењено је да би укупна годишња производња енергије из биомасе могла да достигне 369,7GWh</w:t>
      </w:r>
      <w:r w:rsidR="00364839" w:rsidRPr="00D52A15">
        <w:rPr>
          <w:lang/>
        </w:rPr>
        <w:t xml:space="preserve">. </w:t>
      </w:r>
    </w:p>
    <w:p w:rsidR="00772822" w:rsidRPr="00D52A15" w:rsidRDefault="00772822" w:rsidP="00C24362">
      <w:pPr>
        <w:rPr>
          <w:lang/>
        </w:rPr>
      </w:pPr>
    </w:p>
    <w:p w:rsidR="00772822" w:rsidRPr="00A5597F" w:rsidRDefault="00E47E89" w:rsidP="00C24362">
      <w:pPr>
        <w:pStyle w:val="Caption"/>
        <w:spacing w:after="0"/>
        <w:rPr>
          <w:rFonts w:ascii="Times New Roman" w:hAnsi="Times New Roman" w:cs="Times New Roman"/>
          <w:b w:val="0"/>
          <w:bCs w:val="0"/>
          <w:i/>
          <w:iCs/>
          <w:color w:val="000000" w:themeColor="text1"/>
          <w:sz w:val="24"/>
          <w:szCs w:val="24"/>
          <w:lang/>
        </w:rPr>
      </w:pPr>
      <w:bookmarkStart w:id="2" w:name="_Toc129629268"/>
      <w:bookmarkStart w:id="3" w:name="_Toc130481926"/>
      <w:r w:rsidRPr="00A5597F">
        <w:rPr>
          <w:rFonts w:ascii="Times New Roman" w:hAnsi="Times New Roman" w:cs="Times New Roman"/>
          <w:b w:val="0"/>
          <w:bCs w:val="0"/>
          <w:i/>
          <w:iCs/>
          <w:color w:val="000000" w:themeColor="text1"/>
          <w:sz w:val="24"/>
          <w:szCs w:val="24"/>
          <w:lang/>
        </w:rPr>
        <w:t xml:space="preserve">Табела </w:t>
      </w:r>
      <w:bookmarkEnd w:id="2"/>
      <w:bookmarkEnd w:id="3"/>
      <w:r w:rsidR="00A5597F" w:rsidRPr="00A5597F">
        <w:rPr>
          <w:rFonts w:ascii="Times New Roman" w:hAnsi="Times New Roman" w:cs="Times New Roman"/>
          <w:b w:val="0"/>
          <w:bCs w:val="0"/>
          <w:i/>
          <w:iCs/>
          <w:color w:val="000000" w:themeColor="text1"/>
          <w:sz w:val="24"/>
          <w:szCs w:val="24"/>
          <w:lang w:val="en-US"/>
        </w:rPr>
        <w:t>3</w:t>
      </w:r>
      <w:r w:rsidRPr="00A5597F">
        <w:rPr>
          <w:rFonts w:ascii="Times New Roman" w:hAnsi="Times New Roman" w:cs="Times New Roman"/>
          <w:b w:val="0"/>
          <w:bCs w:val="0"/>
          <w:i/>
          <w:iCs/>
          <w:color w:val="000000" w:themeColor="text1"/>
          <w:sz w:val="24"/>
          <w:szCs w:val="24"/>
          <w:lang/>
        </w:rPr>
        <w:t>. Потенцијал за производњу топлотне енергије из  биомасе до 2030. године</w:t>
      </w:r>
      <w:r w:rsidR="005F1AFE" w:rsidRPr="005F1AFE">
        <w:rPr>
          <w:rFonts w:ascii="Times New Roman" w:hAnsi="Times New Roman" w:cs="Times New Roman"/>
          <w:b w:val="0"/>
          <w:bCs w:val="0"/>
          <w:i/>
          <w:iCs/>
          <w:color w:val="000000" w:themeColor="text1"/>
          <w:sz w:val="24"/>
          <w:szCs w:val="24"/>
          <w:lang/>
        </w:rPr>
        <w:t>[1</w:t>
      </w:r>
      <w:r w:rsidR="0053416E">
        <w:rPr>
          <w:rFonts w:ascii="Times New Roman" w:hAnsi="Times New Roman" w:cs="Times New Roman"/>
          <w:b w:val="0"/>
          <w:bCs w:val="0"/>
          <w:i/>
          <w:iCs/>
          <w:color w:val="000000" w:themeColor="text1"/>
          <w:sz w:val="24"/>
          <w:szCs w:val="24"/>
          <w:lang w:val="en-US"/>
        </w:rPr>
        <w:t>0</w:t>
      </w:r>
      <w:r w:rsidR="005F1AFE" w:rsidRPr="005F1AFE">
        <w:rPr>
          <w:rFonts w:ascii="Times New Roman" w:hAnsi="Times New Roman" w:cs="Times New Roman"/>
          <w:b w:val="0"/>
          <w:bCs w:val="0"/>
          <w:i/>
          <w:iCs/>
          <w:color w:val="000000" w:themeColor="text1"/>
          <w:sz w:val="24"/>
          <w:szCs w:val="24"/>
          <w:lang/>
        </w:rPr>
        <w:t>]</w:t>
      </w:r>
    </w:p>
    <w:tbl>
      <w:tblPr>
        <w:tblW w:w="5000" w:type="pct"/>
        <w:tblLook w:val="04A0"/>
      </w:tblPr>
      <w:tblGrid>
        <w:gridCol w:w="1908"/>
        <w:gridCol w:w="884"/>
        <w:gridCol w:w="884"/>
        <w:gridCol w:w="884"/>
        <w:gridCol w:w="884"/>
        <w:gridCol w:w="884"/>
        <w:gridCol w:w="885"/>
        <w:gridCol w:w="885"/>
        <w:gridCol w:w="885"/>
        <w:gridCol w:w="872"/>
      </w:tblGrid>
      <w:tr w:rsidR="00772822" w:rsidRPr="00A5597F" w:rsidTr="00772822">
        <w:trPr>
          <w:trHeight w:val="315"/>
        </w:trPr>
        <w:tc>
          <w:tcPr>
            <w:tcW w:w="813" w:type="pct"/>
            <w:vMerge w:val="restart"/>
            <w:tcBorders>
              <w:top w:val="single" w:sz="12" w:space="0" w:color="auto"/>
              <w:left w:val="single" w:sz="12" w:space="0" w:color="auto"/>
              <w:right w:val="single" w:sz="12" w:space="0" w:color="auto"/>
            </w:tcBorders>
            <w:shd w:val="clear" w:color="auto" w:fill="F2F2F2" w:themeFill="background1" w:themeFillShade="F2"/>
            <w:noWrap/>
            <w:vAlign w:val="center"/>
            <w:hideMark/>
          </w:tcPr>
          <w:p w:rsidR="00772822" w:rsidRPr="00A5597F" w:rsidRDefault="00E64F14" w:rsidP="00C24362">
            <w:pPr>
              <w:jc w:val="center"/>
              <w:rPr>
                <w:b/>
                <w:color w:val="000000"/>
                <w:lang w:eastAsia="en-GB"/>
              </w:rPr>
            </w:pPr>
            <w:r w:rsidRPr="00A5597F">
              <w:rPr>
                <w:b/>
                <w:color w:val="000000"/>
                <w:sz w:val="22"/>
                <w:szCs w:val="22"/>
                <w:lang w:eastAsia="en-GB"/>
              </w:rPr>
              <w:t>СДГ/година</w:t>
            </w:r>
          </w:p>
        </w:tc>
        <w:tc>
          <w:tcPr>
            <w:tcW w:w="466" w:type="pct"/>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2023</w:t>
            </w:r>
          </w:p>
        </w:tc>
        <w:tc>
          <w:tcPr>
            <w:tcW w:w="466" w:type="pct"/>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2024</w:t>
            </w:r>
          </w:p>
        </w:tc>
        <w:tc>
          <w:tcPr>
            <w:tcW w:w="466" w:type="pct"/>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2025</w:t>
            </w:r>
          </w:p>
        </w:tc>
        <w:tc>
          <w:tcPr>
            <w:tcW w:w="466" w:type="pct"/>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2026</w:t>
            </w:r>
          </w:p>
        </w:tc>
        <w:tc>
          <w:tcPr>
            <w:tcW w:w="466" w:type="pct"/>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2027</w:t>
            </w:r>
          </w:p>
        </w:tc>
        <w:tc>
          <w:tcPr>
            <w:tcW w:w="466" w:type="pct"/>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2028</w:t>
            </w:r>
          </w:p>
        </w:tc>
        <w:tc>
          <w:tcPr>
            <w:tcW w:w="466" w:type="pct"/>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2029</w:t>
            </w:r>
          </w:p>
        </w:tc>
        <w:tc>
          <w:tcPr>
            <w:tcW w:w="466" w:type="pct"/>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2030</w:t>
            </w:r>
          </w:p>
        </w:tc>
        <w:tc>
          <w:tcPr>
            <w:tcW w:w="459" w:type="pct"/>
            <w:tcBorders>
              <w:top w:val="single" w:sz="12" w:space="0" w:color="auto"/>
              <w:left w:val="single" w:sz="12" w:space="0" w:color="auto"/>
              <w:bottom w:val="single" w:sz="4" w:space="0" w:color="auto"/>
              <w:right w:val="single" w:sz="12" w:space="0" w:color="auto"/>
            </w:tcBorders>
            <w:shd w:val="clear" w:color="auto" w:fill="F2F2F2" w:themeFill="background1" w:themeFillShade="F2"/>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Total</w:t>
            </w:r>
          </w:p>
        </w:tc>
      </w:tr>
      <w:tr w:rsidR="00772822" w:rsidRPr="00A5597F" w:rsidTr="00772822">
        <w:trPr>
          <w:trHeight w:val="315"/>
        </w:trPr>
        <w:tc>
          <w:tcPr>
            <w:tcW w:w="813" w:type="pct"/>
            <w:vMerge/>
            <w:tcBorders>
              <w:left w:val="single" w:sz="12" w:space="0" w:color="auto"/>
              <w:bottom w:val="single" w:sz="12" w:space="0" w:color="auto"/>
              <w:right w:val="single" w:sz="12" w:space="0" w:color="auto"/>
            </w:tcBorders>
            <w:shd w:val="clear" w:color="auto" w:fill="F2F2F2" w:themeFill="background1" w:themeFillShade="F2"/>
            <w:noWrap/>
            <w:vAlign w:val="center"/>
          </w:tcPr>
          <w:p w:rsidR="00772822" w:rsidRPr="00A5597F" w:rsidRDefault="00772822" w:rsidP="00C24362">
            <w:pPr>
              <w:jc w:val="center"/>
              <w:rPr>
                <w:b/>
                <w:color w:val="000000"/>
                <w:lang w:eastAsia="en-GB"/>
              </w:rPr>
            </w:pPr>
          </w:p>
        </w:tc>
        <w:tc>
          <w:tcPr>
            <w:tcW w:w="466" w:type="pct"/>
            <w:tcBorders>
              <w:top w:val="nil"/>
              <w:left w:val="single" w:sz="12" w:space="0" w:color="auto"/>
              <w:bottom w:val="single" w:sz="12" w:space="0" w:color="auto"/>
              <w:right w:val="single" w:sz="4" w:space="0" w:color="auto"/>
            </w:tcBorders>
            <w:shd w:val="clear" w:color="auto" w:fill="F2F2F2" w:themeFill="background1" w:themeFillShade="F2"/>
            <w:noWrap/>
            <w:vAlign w:val="center"/>
          </w:tcPr>
          <w:p w:rsidR="00772822" w:rsidRPr="00A5597F" w:rsidRDefault="00772822" w:rsidP="00C24362">
            <w:pPr>
              <w:jc w:val="center"/>
              <w:rPr>
                <w:b/>
                <w:color w:val="000000"/>
                <w:lang w:eastAsia="en-GB"/>
              </w:rPr>
            </w:pPr>
            <w:r w:rsidRPr="00A5597F">
              <w:rPr>
                <w:b/>
                <w:color w:val="000000"/>
                <w:sz w:val="22"/>
                <w:szCs w:val="22"/>
                <w:lang w:eastAsia="en-GB"/>
              </w:rPr>
              <w:t>GWh</w:t>
            </w:r>
          </w:p>
        </w:tc>
        <w:tc>
          <w:tcPr>
            <w:tcW w:w="466" w:type="pct"/>
            <w:tcBorders>
              <w:top w:val="nil"/>
              <w:left w:val="nil"/>
              <w:bottom w:val="single" w:sz="12" w:space="0" w:color="auto"/>
              <w:right w:val="single" w:sz="4" w:space="0" w:color="auto"/>
            </w:tcBorders>
            <w:shd w:val="clear" w:color="auto" w:fill="F2F2F2" w:themeFill="background1" w:themeFillShade="F2"/>
            <w:noWrap/>
            <w:vAlign w:val="center"/>
          </w:tcPr>
          <w:p w:rsidR="00772822" w:rsidRPr="00A5597F" w:rsidRDefault="00772822" w:rsidP="00C24362">
            <w:pPr>
              <w:jc w:val="center"/>
              <w:rPr>
                <w:b/>
                <w:color w:val="000000"/>
                <w:lang w:eastAsia="en-GB"/>
              </w:rPr>
            </w:pPr>
            <w:r w:rsidRPr="00A5597F">
              <w:rPr>
                <w:b/>
                <w:color w:val="000000"/>
                <w:sz w:val="22"/>
                <w:szCs w:val="22"/>
                <w:lang w:eastAsia="en-GB"/>
              </w:rPr>
              <w:t>GWh</w:t>
            </w:r>
          </w:p>
        </w:tc>
        <w:tc>
          <w:tcPr>
            <w:tcW w:w="466" w:type="pct"/>
            <w:tcBorders>
              <w:top w:val="nil"/>
              <w:left w:val="nil"/>
              <w:bottom w:val="single" w:sz="12" w:space="0" w:color="auto"/>
              <w:right w:val="single" w:sz="4" w:space="0" w:color="auto"/>
            </w:tcBorders>
            <w:shd w:val="clear" w:color="auto" w:fill="F2F2F2" w:themeFill="background1" w:themeFillShade="F2"/>
            <w:noWrap/>
            <w:vAlign w:val="center"/>
          </w:tcPr>
          <w:p w:rsidR="00772822" w:rsidRPr="00A5597F" w:rsidRDefault="00772822" w:rsidP="00C24362">
            <w:pPr>
              <w:jc w:val="center"/>
              <w:rPr>
                <w:b/>
                <w:color w:val="000000"/>
                <w:lang w:eastAsia="en-GB"/>
              </w:rPr>
            </w:pPr>
            <w:r w:rsidRPr="00A5597F">
              <w:rPr>
                <w:b/>
                <w:color w:val="000000"/>
                <w:sz w:val="22"/>
                <w:szCs w:val="22"/>
                <w:lang w:eastAsia="en-GB"/>
              </w:rPr>
              <w:t>GWh</w:t>
            </w:r>
          </w:p>
        </w:tc>
        <w:tc>
          <w:tcPr>
            <w:tcW w:w="466" w:type="pct"/>
            <w:tcBorders>
              <w:top w:val="nil"/>
              <w:left w:val="nil"/>
              <w:bottom w:val="single" w:sz="12" w:space="0" w:color="auto"/>
              <w:right w:val="single" w:sz="4" w:space="0" w:color="auto"/>
            </w:tcBorders>
            <w:shd w:val="clear" w:color="auto" w:fill="F2F2F2" w:themeFill="background1" w:themeFillShade="F2"/>
            <w:noWrap/>
            <w:vAlign w:val="center"/>
          </w:tcPr>
          <w:p w:rsidR="00772822" w:rsidRPr="00A5597F" w:rsidRDefault="00772822" w:rsidP="00C24362">
            <w:pPr>
              <w:jc w:val="center"/>
              <w:rPr>
                <w:b/>
                <w:color w:val="000000"/>
                <w:lang w:eastAsia="en-GB"/>
              </w:rPr>
            </w:pPr>
            <w:r w:rsidRPr="00A5597F">
              <w:rPr>
                <w:b/>
                <w:color w:val="000000"/>
                <w:sz w:val="22"/>
                <w:szCs w:val="22"/>
                <w:lang w:eastAsia="en-GB"/>
              </w:rPr>
              <w:t>GWh</w:t>
            </w:r>
          </w:p>
        </w:tc>
        <w:tc>
          <w:tcPr>
            <w:tcW w:w="466" w:type="pct"/>
            <w:tcBorders>
              <w:top w:val="nil"/>
              <w:left w:val="nil"/>
              <w:bottom w:val="single" w:sz="12" w:space="0" w:color="auto"/>
              <w:right w:val="single" w:sz="4" w:space="0" w:color="auto"/>
            </w:tcBorders>
            <w:shd w:val="clear" w:color="auto" w:fill="F2F2F2" w:themeFill="background1" w:themeFillShade="F2"/>
            <w:noWrap/>
            <w:vAlign w:val="center"/>
          </w:tcPr>
          <w:p w:rsidR="00772822" w:rsidRPr="00A5597F" w:rsidRDefault="00772822" w:rsidP="00C24362">
            <w:pPr>
              <w:jc w:val="center"/>
              <w:rPr>
                <w:b/>
                <w:color w:val="000000"/>
                <w:lang w:eastAsia="en-GB"/>
              </w:rPr>
            </w:pPr>
            <w:r w:rsidRPr="00A5597F">
              <w:rPr>
                <w:b/>
                <w:color w:val="000000"/>
                <w:sz w:val="22"/>
                <w:szCs w:val="22"/>
                <w:lang w:eastAsia="en-GB"/>
              </w:rPr>
              <w:t>GWh</w:t>
            </w:r>
          </w:p>
        </w:tc>
        <w:tc>
          <w:tcPr>
            <w:tcW w:w="466" w:type="pct"/>
            <w:tcBorders>
              <w:top w:val="nil"/>
              <w:left w:val="nil"/>
              <w:bottom w:val="single" w:sz="12" w:space="0" w:color="auto"/>
              <w:right w:val="single" w:sz="4" w:space="0" w:color="auto"/>
            </w:tcBorders>
            <w:shd w:val="clear" w:color="auto" w:fill="F2F2F2" w:themeFill="background1" w:themeFillShade="F2"/>
            <w:noWrap/>
            <w:vAlign w:val="center"/>
          </w:tcPr>
          <w:p w:rsidR="00772822" w:rsidRPr="00A5597F" w:rsidRDefault="00772822" w:rsidP="00C24362">
            <w:pPr>
              <w:jc w:val="center"/>
              <w:rPr>
                <w:b/>
                <w:color w:val="000000"/>
                <w:lang w:eastAsia="en-GB"/>
              </w:rPr>
            </w:pPr>
            <w:r w:rsidRPr="00A5597F">
              <w:rPr>
                <w:b/>
                <w:color w:val="000000"/>
                <w:sz w:val="22"/>
                <w:szCs w:val="22"/>
                <w:lang w:eastAsia="en-GB"/>
              </w:rPr>
              <w:t>GWh</w:t>
            </w:r>
          </w:p>
        </w:tc>
        <w:tc>
          <w:tcPr>
            <w:tcW w:w="466" w:type="pct"/>
            <w:tcBorders>
              <w:top w:val="nil"/>
              <w:left w:val="nil"/>
              <w:bottom w:val="single" w:sz="12" w:space="0" w:color="auto"/>
              <w:right w:val="single" w:sz="4" w:space="0" w:color="auto"/>
            </w:tcBorders>
            <w:shd w:val="clear" w:color="auto" w:fill="F2F2F2" w:themeFill="background1" w:themeFillShade="F2"/>
            <w:noWrap/>
            <w:vAlign w:val="center"/>
          </w:tcPr>
          <w:p w:rsidR="00772822" w:rsidRPr="00A5597F" w:rsidRDefault="00772822" w:rsidP="00C24362">
            <w:pPr>
              <w:jc w:val="center"/>
              <w:rPr>
                <w:b/>
                <w:color w:val="000000"/>
                <w:lang w:eastAsia="en-GB"/>
              </w:rPr>
            </w:pPr>
            <w:r w:rsidRPr="00A5597F">
              <w:rPr>
                <w:b/>
                <w:color w:val="000000"/>
                <w:sz w:val="22"/>
                <w:szCs w:val="22"/>
                <w:lang w:eastAsia="en-GB"/>
              </w:rPr>
              <w:t>GWh</w:t>
            </w:r>
          </w:p>
        </w:tc>
        <w:tc>
          <w:tcPr>
            <w:tcW w:w="466" w:type="pct"/>
            <w:tcBorders>
              <w:top w:val="nil"/>
              <w:left w:val="nil"/>
              <w:bottom w:val="single" w:sz="12" w:space="0" w:color="auto"/>
              <w:right w:val="single" w:sz="12" w:space="0" w:color="auto"/>
            </w:tcBorders>
            <w:shd w:val="clear" w:color="auto" w:fill="F2F2F2" w:themeFill="background1" w:themeFillShade="F2"/>
            <w:noWrap/>
            <w:vAlign w:val="center"/>
          </w:tcPr>
          <w:p w:rsidR="00772822" w:rsidRPr="00A5597F" w:rsidRDefault="00772822" w:rsidP="00C24362">
            <w:pPr>
              <w:jc w:val="center"/>
              <w:rPr>
                <w:b/>
                <w:color w:val="000000"/>
                <w:lang w:eastAsia="en-GB"/>
              </w:rPr>
            </w:pPr>
            <w:r w:rsidRPr="00A5597F">
              <w:rPr>
                <w:b/>
                <w:color w:val="000000"/>
                <w:sz w:val="22"/>
                <w:szCs w:val="22"/>
                <w:lang w:eastAsia="en-GB"/>
              </w:rPr>
              <w:t>GWh</w:t>
            </w:r>
          </w:p>
        </w:tc>
        <w:tc>
          <w:tcPr>
            <w:tcW w:w="459" w:type="pct"/>
            <w:tcBorders>
              <w:top w:val="nil"/>
              <w:left w:val="single" w:sz="12" w:space="0" w:color="auto"/>
              <w:bottom w:val="single" w:sz="12" w:space="0" w:color="auto"/>
              <w:right w:val="single" w:sz="12" w:space="0" w:color="auto"/>
            </w:tcBorders>
            <w:shd w:val="clear" w:color="auto" w:fill="F2F2F2" w:themeFill="background1" w:themeFillShade="F2"/>
            <w:noWrap/>
            <w:vAlign w:val="center"/>
          </w:tcPr>
          <w:p w:rsidR="00772822" w:rsidRPr="00A5597F" w:rsidRDefault="00772822" w:rsidP="00C24362">
            <w:pPr>
              <w:jc w:val="center"/>
              <w:rPr>
                <w:b/>
                <w:color w:val="000000"/>
                <w:lang w:eastAsia="en-GB"/>
              </w:rPr>
            </w:pPr>
            <w:r w:rsidRPr="00A5597F">
              <w:rPr>
                <w:b/>
                <w:color w:val="000000"/>
                <w:sz w:val="22"/>
                <w:szCs w:val="22"/>
                <w:lang w:eastAsia="en-GB"/>
              </w:rPr>
              <w:t>GWh</w:t>
            </w:r>
          </w:p>
        </w:tc>
      </w:tr>
      <w:tr w:rsidR="00E64F14" w:rsidRPr="00A5597F" w:rsidTr="00FC4A1D">
        <w:trPr>
          <w:trHeight w:val="315"/>
        </w:trPr>
        <w:tc>
          <w:tcPr>
            <w:tcW w:w="813" w:type="pct"/>
            <w:tcBorders>
              <w:top w:val="single" w:sz="12" w:space="0" w:color="auto"/>
              <w:left w:val="single" w:sz="12" w:space="0" w:color="auto"/>
              <w:bottom w:val="single" w:sz="4"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Нови Пазар</w:t>
            </w:r>
          </w:p>
        </w:tc>
        <w:tc>
          <w:tcPr>
            <w:tcW w:w="466"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12</w:t>
            </w:r>
            <w:r w:rsidR="00925B68">
              <w:rPr>
                <w:color w:val="000000"/>
                <w:sz w:val="22"/>
                <w:szCs w:val="22"/>
                <w:lang w:eastAsia="en-GB"/>
              </w:rPr>
              <w:t>,</w:t>
            </w:r>
            <w:r w:rsidRPr="00A5597F">
              <w:rPr>
                <w:color w:val="000000"/>
                <w:sz w:val="22"/>
                <w:szCs w:val="22"/>
                <w:lang w:eastAsia="en-GB"/>
              </w:rPr>
              <w:t>08</w:t>
            </w:r>
          </w:p>
        </w:tc>
        <w:tc>
          <w:tcPr>
            <w:tcW w:w="466" w:type="pct"/>
            <w:tcBorders>
              <w:top w:val="single" w:sz="12" w:space="0" w:color="auto"/>
              <w:left w:val="nil"/>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single" w:sz="12" w:space="0" w:color="auto"/>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single" w:sz="12" w:space="0" w:color="auto"/>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single" w:sz="12" w:space="0" w:color="auto"/>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single" w:sz="12" w:space="0" w:color="auto"/>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single" w:sz="12" w:space="0" w:color="auto"/>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single" w:sz="12" w:space="0" w:color="auto"/>
              <w:left w:val="nil"/>
              <w:bottom w:val="single" w:sz="4" w:space="0" w:color="auto"/>
              <w:right w:val="single" w:sz="12"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59"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12</w:t>
            </w:r>
            <w:r w:rsidR="00925B68">
              <w:rPr>
                <w:b/>
                <w:color w:val="000000"/>
                <w:sz w:val="22"/>
                <w:szCs w:val="22"/>
                <w:lang w:eastAsia="en-GB"/>
              </w:rPr>
              <w:t>,</w:t>
            </w:r>
            <w:r w:rsidRPr="00A5597F">
              <w:rPr>
                <w:b/>
                <w:color w:val="000000"/>
                <w:sz w:val="22"/>
                <w:szCs w:val="22"/>
                <w:lang w:eastAsia="en-GB"/>
              </w:rPr>
              <w:t>08</w:t>
            </w:r>
          </w:p>
        </w:tc>
      </w:tr>
      <w:tr w:rsidR="00E64F14" w:rsidRPr="00A5597F" w:rsidTr="00FC4A1D">
        <w:trPr>
          <w:trHeight w:val="315"/>
        </w:trPr>
        <w:tc>
          <w:tcPr>
            <w:tcW w:w="813" w:type="pct"/>
            <w:tcBorders>
              <w:top w:val="nil"/>
              <w:left w:val="single" w:sz="12" w:space="0" w:color="auto"/>
              <w:bottom w:val="single" w:sz="4"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Крушевац</w:t>
            </w:r>
          </w:p>
        </w:tc>
        <w:tc>
          <w:tcPr>
            <w:tcW w:w="466" w:type="pct"/>
            <w:tcBorders>
              <w:top w:val="nil"/>
              <w:left w:val="single" w:sz="12" w:space="0" w:color="auto"/>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0</w:t>
            </w:r>
            <w:r w:rsidR="00925B68">
              <w:rPr>
                <w:color w:val="000000"/>
                <w:sz w:val="22"/>
                <w:szCs w:val="22"/>
                <w:lang w:eastAsia="en-GB"/>
              </w:rPr>
              <w:t>,</w:t>
            </w:r>
            <w:r w:rsidRPr="00A5597F">
              <w:rPr>
                <w:color w:val="000000"/>
                <w:sz w:val="22"/>
                <w:szCs w:val="22"/>
                <w:lang w:eastAsia="en-GB"/>
              </w:rPr>
              <w:t>08</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12"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112</w:t>
            </w:r>
            <w:r w:rsidR="00925B68">
              <w:rPr>
                <w:color w:val="000000"/>
                <w:sz w:val="22"/>
                <w:szCs w:val="22"/>
                <w:lang w:eastAsia="en-GB"/>
              </w:rPr>
              <w:t>,</w:t>
            </w:r>
            <w:r w:rsidRPr="00A5597F">
              <w:rPr>
                <w:color w:val="000000"/>
                <w:sz w:val="22"/>
                <w:szCs w:val="22"/>
                <w:lang w:eastAsia="en-GB"/>
              </w:rPr>
              <w:t>37</w:t>
            </w:r>
          </w:p>
        </w:tc>
        <w:tc>
          <w:tcPr>
            <w:tcW w:w="459" w:type="pct"/>
            <w:tcBorders>
              <w:top w:val="nil"/>
              <w:left w:val="single" w:sz="12" w:space="0" w:color="auto"/>
              <w:bottom w:val="single" w:sz="4"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112</w:t>
            </w:r>
            <w:r w:rsidR="00925B68">
              <w:rPr>
                <w:b/>
                <w:color w:val="000000"/>
                <w:sz w:val="22"/>
                <w:szCs w:val="22"/>
                <w:lang w:eastAsia="en-GB"/>
              </w:rPr>
              <w:t>,</w:t>
            </w:r>
            <w:r w:rsidRPr="00A5597F">
              <w:rPr>
                <w:b/>
                <w:color w:val="000000"/>
                <w:sz w:val="22"/>
                <w:szCs w:val="22"/>
                <w:lang w:eastAsia="en-GB"/>
              </w:rPr>
              <w:t>44</w:t>
            </w:r>
          </w:p>
        </w:tc>
      </w:tr>
      <w:tr w:rsidR="00E64F14" w:rsidRPr="00A5597F" w:rsidTr="00FC4A1D">
        <w:trPr>
          <w:trHeight w:val="315"/>
        </w:trPr>
        <w:tc>
          <w:tcPr>
            <w:tcW w:w="813" w:type="pct"/>
            <w:tcBorders>
              <w:top w:val="nil"/>
              <w:left w:val="single" w:sz="12" w:space="0" w:color="auto"/>
              <w:bottom w:val="single" w:sz="4"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Врање</w:t>
            </w:r>
          </w:p>
        </w:tc>
        <w:tc>
          <w:tcPr>
            <w:tcW w:w="466" w:type="pct"/>
            <w:tcBorders>
              <w:top w:val="nil"/>
              <w:left w:val="single" w:sz="12" w:space="0" w:color="auto"/>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28</w:t>
            </w:r>
            <w:r w:rsidR="00925B68">
              <w:rPr>
                <w:color w:val="000000"/>
                <w:sz w:val="22"/>
                <w:szCs w:val="22"/>
                <w:lang w:eastAsia="en-GB"/>
              </w:rPr>
              <w:t>,</w:t>
            </w:r>
            <w:r w:rsidRPr="00A5597F">
              <w:rPr>
                <w:color w:val="000000"/>
                <w:sz w:val="22"/>
                <w:szCs w:val="22"/>
                <w:lang w:eastAsia="en-GB"/>
              </w:rPr>
              <w:t>21</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12"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59" w:type="pct"/>
            <w:tcBorders>
              <w:top w:val="nil"/>
              <w:left w:val="single" w:sz="12" w:space="0" w:color="auto"/>
              <w:bottom w:val="single" w:sz="4"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28</w:t>
            </w:r>
            <w:r w:rsidR="00925B68">
              <w:rPr>
                <w:b/>
                <w:color w:val="000000"/>
                <w:sz w:val="22"/>
                <w:szCs w:val="22"/>
                <w:lang w:eastAsia="en-GB"/>
              </w:rPr>
              <w:t>,</w:t>
            </w:r>
            <w:r w:rsidRPr="00A5597F">
              <w:rPr>
                <w:b/>
                <w:color w:val="000000"/>
                <w:sz w:val="22"/>
                <w:szCs w:val="22"/>
                <w:lang w:eastAsia="en-GB"/>
              </w:rPr>
              <w:t>21</w:t>
            </w:r>
          </w:p>
        </w:tc>
      </w:tr>
      <w:tr w:rsidR="00E64F14" w:rsidRPr="00A5597F" w:rsidTr="00FC4A1D">
        <w:trPr>
          <w:trHeight w:val="315"/>
        </w:trPr>
        <w:tc>
          <w:tcPr>
            <w:tcW w:w="813" w:type="pct"/>
            <w:tcBorders>
              <w:top w:val="nil"/>
              <w:left w:val="single" w:sz="12" w:space="0" w:color="auto"/>
              <w:bottom w:val="single" w:sz="4"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Зајечар</w:t>
            </w:r>
          </w:p>
        </w:tc>
        <w:tc>
          <w:tcPr>
            <w:tcW w:w="466" w:type="pct"/>
            <w:tcBorders>
              <w:top w:val="nil"/>
              <w:left w:val="single" w:sz="12" w:space="0" w:color="auto"/>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35</w:t>
            </w:r>
            <w:r w:rsidR="00925B68">
              <w:rPr>
                <w:color w:val="000000"/>
                <w:sz w:val="22"/>
                <w:szCs w:val="22"/>
                <w:lang w:eastAsia="en-GB"/>
              </w:rPr>
              <w:t>,</w:t>
            </w:r>
            <w:r w:rsidRPr="00A5597F">
              <w:rPr>
                <w:color w:val="000000"/>
                <w:sz w:val="22"/>
                <w:szCs w:val="22"/>
                <w:lang w:eastAsia="en-GB"/>
              </w:rPr>
              <w:t>36</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12"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59" w:type="pct"/>
            <w:tcBorders>
              <w:top w:val="nil"/>
              <w:left w:val="single" w:sz="12" w:space="0" w:color="auto"/>
              <w:bottom w:val="single" w:sz="4"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35</w:t>
            </w:r>
            <w:r w:rsidR="00925B68">
              <w:rPr>
                <w:b/>
                <w:color w:val="000000"/>
                <w:sz w:val="22"/>
                <w:szCs w:val="22"/>
                <w:lang w:eastAsia="en-GB"/>
              </w:rPr>
              <w:t>,</w:t>
            </w:r>
            <w:r w:rsidRPr="00A5597F">
              <w:rPr>
                <w:b/>
                <w:color w:val="000000"/>
                <w:sz w:val="22"/>
                <w:szCs w:val="22"/>
                <w:lang w:eastAsia="en-GB"/>
              </w:rPr>
              <w:t>36</w:t>
            </w:r>
          </w:p>
        </w:tc>
      </w:tr>
      <w:tr w:rsidR="00E64F14" w:rsidRPr="00A5597F" w:rsidTr="00FC4A1D">
        <w:trPr>
          <w:trHeight w:val="315"/>
        </w:trPr>
        <w:tc>
          <w:tcPr>
            <w:tcW w:w="813" w:type="pct"/>
            <w:tcBorders>
              <w:top w:val="nil"/>
              <w:left w:val="single" w:sz="12" w:space="0" w:color="auto"/>
              <w:bottom w:val="single" w:sz="4"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Смедерево</w:t>
            </w:r>
          </w:p>
        </w:tc>
        <w:tc>
          <w:tcPr>
            <w:tcW w:w="466" w:type="pct"/>
            <w:tcBorders>
              <w:top w:val="nil"/>
              <w:left w:val="single" w:sz="12" w:space="0" w:color="auto"/>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39</w:t>
            </w:r>
            <w:r w:rsidR="00925B68">
              <w:rPr>
                <w:color w:val="000000"/>
                <w:sz w:val="22"/>
                <w:szCs w:val="22"/>
                <w:lang w:eastAsia="en-GB"/>
              </w:rPr>
              <w:t>,</w:t>
            </w:r>
            <w:r w:rsidRPr="00A5597F">
              <w:rPr>
                <w:color w:val="000000"/>
                <w:sz w:val="22"/>
                <w:szCs w:val="22"/>
                <w:lang w:eastAsia="en-GB"/>
              </w:rPr>
              <w:t>49</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12"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59" w:type="pct"/>
            <w:tcBorders>
              <w:top w:val="nil"/>
              <w:left w:val="single" w:sz="12" w:space="0" w:color="auto"/>
              <w:bottom w:val="single" w:sz="4"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39</w:t>
            </w:r>
            <w:r w:rsidR="00925B68">
              <w:rPr>
                <w:b/>
                <w:color w:val="000000"/>
                <w:sz w:val="22"/>
                <w:szCs w:val="22"/>
                <w:lang w:eastAsia="en-GB"/>
              </w:rPr>
              <w:t>,</w:t>
            </w:r>
            <w:r w:rsidRPr="00A5597F">
              <w:rPr>
                <w:b/>
                <w:color w:val="000000"/>
                <w:sz w:val="22"/>
                <w:szCs w:val="22"/>
                <w:lang w:eastAsia="en-GB"/>
              </w:rPr>
              <w:t>49</w:t>
            </w:r>
          </w:p>
        </w:tc>
      </w:tr>
      <w:tr w:rsidR="00E64F14" w:rsidRPr="00A5597F" w:rsidTr="00FC4A1D">
        <w:trPr>
          <w:trHeight w:val="315"/>
        </w:trPr>
        <w:tc>
          <w:tcPr>
            <w:tcW w:w="813" w:type="pct"/>
            <w:tcBorders>
              <w:top w:val="nil"/>
              <w:left w:val="single" w:sz="12" w:space="0" w:color="auto"/>
              <w:bottom w:val="single" w:sz="4"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Нова Варош</w:t>
            </w:r>
          </w:p>
        </w:tc>
        <w:tc>
          <w:tcPr>
            <w:tcW w:w="466" w:type="pct"/>
            <w:tcBorders>
              <w:top w:val="nil"/>
              <w:left w:val="single" w:sz="12" w:space="0" w:color="auto"/>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10</w:t>
            </w:r>
            <w:r w:rsidR="00925B68">
              <w:rPr>
                <w:color w:val="000000"/>
                <w:sz w:val="22"/>
                <w:szCs w:val="22"/>
                <w:lang w:eastAsia="en-GB"/>
              </w:rPr>
              <w:t>,</w:t>
            </w:r>
            <w:r w:rsidRPr="00A5597F">
              <w:rPr>
                <w:color w:val="000000"/>
                <w:sz w:val="22"/>
                <w:szCs w:val="22"/>
                <w:lang w:eastAsia="en-GB"/>
              </w:rPr>
              <w:t>69</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12"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59" w:type="pct"/>
            <w:tcBorders>
              <w:top w:val="nil"/>
              <w:left w:val="single" w:sz="12" w:space="0" w:color="auto"/>
              <w:bottom w:val="single" w:sz="4"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10</w:t>
            </w:r>
            <w:r w:rsidR="00925B68">
              <w:rPr>
                <w:b/>
                <w:color w:val="000000"/>
                <w:sz w:val="22"/>
                <w:szCs w:val="22"/>
                <w:lang w:eastAsia="en-GB"/>
              </w:rPr>
              <w:t>,</w:t>
            </w:r>
            <w:r w:rsidRPr="00A5597F">
              <w:rPr>
                <w:b/>
                <w:color w:val="000000"/>
                <w:sz w:val="22"/>
                <w:szCs w:val="22"/>
                <w:lang w:eastAsia="en-GB"/>
              </w:rPr>
              <w:t>69</w:t>
            </w:r>
          </w:p>
        </w:tc>
      </w:tr>
      <w:tr w:rsidR="00E64F14" w:rsidRPr="00A5597F" w:rsidTr="00FC4A1D">
        <w:trPr>
          <w:trHeight w:val="315"/>
        </w:trPr>
        <w:tc>
          <w:tcPr>
            <w:tcW w:w="813" w:type="pct"/>
            <w:tcBorders>
              <w:top w:val="nil"/>
              <w:left w:val="single" w:sz="12" w:space="0" w:color="auto"/>
              <w:bottom w:val="single" w:sz="4"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Књажевац</w:t>
            </w:r>
          </w:p>
        </w:tc>
        <w:tc>
          <w:tcPr>
            <w:tcW w:w="466" w:type="pct"/>
            <w:tcBorders>
              <w:top w:val="nil"/>
              <w:left w:val="single" w:sz="12" w:space="0" w:color="auto"/>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16</w:t>
            </w:r>
            <w:r w:rsidR="00925B68">
              <w:rPr>
                <w:color w:val="000000"/>
                <w:sz w:val="22"/>
                <w:szCs w:val="22"/>
                <w:lang w:eastAsia="en-GB"/>
              </w:rPr>
              <w:t>,</w:t>
            </w:r>
            <w:r w:rsidRPr="00A5597F">
              <w:rPr>
                <w:color w:val="000000"/>
                <w:sz w:val="22"/>
                <w:szCs w:val="22"/>
                <w:lang w:eastAsia="en-GB"/>
              </w:rPr>
              <w:t>64</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12"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59" w:type="pct"/>
            <w:tcBorders>
              <w:top w:val="nil"/>
              <w:left w:val="single" w:sz="12" w:space="0" w:color="auto"/>
              <w:bottom w:val="single" w:sz="4"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16</w:t>
            </w:r>
            <w:r w:rsidR="00925B68">
              <w:rPr>
                <w:b/>
                <w:color w:val="000000"/>
                <w:sz w:val="22"/>
                <w:szCs w:val="22"/>
                <w:lang w:eastAsia="en-GB"/>
              </w:rPr>
              <w:t>,</w:t>
            </w:r>
            <w:r w:rsidRPr="00A5597F">
              <w:rPr>
                <w:b/>
                <w:color w:val="000000"/>
                <w:sz w:val="22"/>
                <w:szCs w:val="22"/>
                <w:lang w:eastAsia="en-GB"/>
              </w:rPr>
              <w:t>64</w:t>
            </w:r>
          </w:p>
        </w:tc>
      </w:tr>
      <w:tr w:rsidR="00E64F14" w:rsidRPr="00A5597F" w:rsidTr="00FC4A1D">
        <w:trPr>
          <w:trHeight w:val="315"/>
        </w:trPr>
        <w:tc>
          <w:tcPr>
            <w:tcW w:w="813" w:type="pct"/>
            <w:tcBorders>
              <w:top w:val="nil"/>
              <w:left w:val="single" w:sz="12" w:space="0" w:color="auto"/>
              <w:bottom w:val="single" w:sz="4"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ГорњиМилановац</w:t>
            </w:r>
          </w:p>
        </w:tc>
        <w:tc>
          <w:tcPr>
            <w:tcW w:w="466" w:type="pct"/>
            <w:tcBorders>
              <w:top w:val="nil"/>
              <w:left w:val="single" w:sz="12" w:space="0" w:color="auto"/>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12</w:t>
            </w:r>
            <w:r w:rsidR="00925B68">
              <w:rPr>
                <w:color w:val="000000"/>
                <w:sz w:val="22"/>
                <w:szCs w:val="22"/>
                <w:lang w:eastAsia="en-GB"/>
              </w:rPr>
              <w:t>,</w:t>
            </w:r>
            <w:r w:rsidRPr="00A5597F">
              <w:rPr>
                <w:color w:val="000000"/>
                <w:sz w:val="22"/>
                <w:szCs w:val="22"/>
                <w:lang w:eastAsia="en-GB"/>
              </w:rPr>
              <w:t>32</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12"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59" w:type="pct"/>
            <w:tcBorders>
              <w:top w:val="nil"/>
              <w:left w:val="single" w:sz="12" w:space="0" w:color="auto"/>
              <w:bottom w:val="single" w:sz="4"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12</w:t>
            </w:r>
            <w:r w:rsidR="00925B68">
              <w:rPr>
                <w:b/>
                <w:color w:val="000000"/>
                <w:sz w:val="22"/>
                <w:szCs w:val="22"/>
                <w:lang w:eastAsia="en-GB"/>
              </w:rPr>
              <w:t>,</w:t>
            </w:r>
            <w:r w:rsidRPr="00A5597F">
              <w:rPr>
                <w:b/>
                <w:color w:val="000000"/>
                <w:sz w:val="22"/>
                <w:szCs w:val="22"/>
                <w:lang w:eastAsia="en-GB"/>
              </w:rPr>
              <w:t>32</w:t>
            </w:r>
          </w:p>
        </w:tc>
      </w:tr>
      <w:tr w:rsidR="00E64F14" w:rsidRPr="00A5597F" w:rsidTr="00FC4A1D">
        <w:trPr>
          <w:trHeight w:val="315"/>
        </w:trPr>
        <w:tc>
          <w:tcPr>
            <w:tcW w:w="813" w:type="pct"/>
            <w:tcBorders>
              <w:top w:val="nil"/>
              <w:left w:val="single" w:sz="12" w:space="0" w:color="auto"/>
              <w:bottom w:val="single" w:sz="4"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Нови Пазар</w:t>
            </w:r>
          </w:p>
        </w:tc>
        <w:tc>
          <w:tcPr>
            <w:tcW w:w="466" w:type="pct"/>
            <w:tcBorders>
              <w:top w:val="nil"/>
              <w:left w:val="single" w:sz="12" w:space="0" w:color="auto"/>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12</w:t>
            </w:r>
            <w:r w:rsidR="00925B68">
              <w:rPr>
                <w:color w:val="000000"/>
                <w:sz w:val="22"/>
                <w:szCs w:val="22"/>
                <w:lang w:eastAsia="en-GB"/>
              </w:rPr>
              <w:t>,</w:t>
            </w:r>
            <w:r w:rsidRPr="00A5597F">
              <w:rPr>
                <w:color w:val="000000"/>
                <w:sz w:val="22"/>
                <w:szCs w:val="22"/>
                <w:lang w:eastAsia="en-GB"/>
              </w:rPr>
              <w:t>08</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12"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59" w:type="pct"/>
            <w:tcBorders>
              <w:top w:val="nil"/>
              <w:left w:val="single" w:sz="12" w:space="0" w:color="auto"/>
              <w:bottom w:val="single" w:sz="4"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12</w:t>
            </w:r>
            <w:r w:rsidR="00925B68">
              <w:rPr>
                <w:b/>
                <w:color w:val="000000"/>
                <w:sz w:val="22"/>
                <w:szCs w:val="22"/>
                <w:lang w:eastAsia="en-GB"/>
              </w:rPr>
              <w:t>,</w:t>
            </w:r>
            <w:r w:rsidRPr="00A5597F">
              <w:rPr>
                <w:b/>
                <w:color w:val="000000"/>
                <w:sz w:val="22"/>
                <w:szCs w:val="22"/>
                <w:lang w:eastAsia="en-GB"/>
              </w:rPr>
              <w:t>08</w:t>
            </w:r>
          </w:p>
        </w:tc>
      </w:tr>
      <w:tr w:rsidR="00E64F14" w:rsidRPr="00A5597F" w:rsidTr="00FC4A1D">
        <w:trPr>
          <w:trHeight w:val="315"/>
        </w:trPr>
        <w:tc>
          <w:tcPr>
            <w:tcW w:w="813" w:type="pct"/>
            <w:tcBorders>
              <w:top w:val="nil"/>
              <w:left w:val="single" w:sz="12" w:space="0" w:color="auto"/>
              <w:bottom w:val="single" w:sz="4"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БајинаБашта</w:t>
            </w:r>
          </w:p>
        </w:tc>
        <w:tc>
          <w:tcPr>
            <w:tcW w:w="466" w:type="pct"/>
            <w:tcBorders>
              <w:top w:val="nil"/>
              <w:left w:val="single" w:sz="12" w:space="0" w:color="auto"/>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4"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12</w:t>
            </w:r>
            <w:r w:rsidR="00925B68">
              <w:rPr>
                <w:color w:val="000000"/>
                <w:sz w:val="22"/>
                <w:szCs w:val="22"/>
                <w:lang w:eastAsia="en-GB"/>
              </w:rPr>
              <w:t>,</w:t>
            </w:r>
            <w:r w:rsidRPr="00A5597F">
              <w:rPr>
                <w:color w:val="000000"/>
                <w:sz w:val="22"/>
                <w:szCs w:val="22"/>
                <w:lang w:eastAsia="en-GB"/>
              </w:rPr>
              <w:t>48</w:t>
            </w:r>
          </w:p>
        </w:tc>
        <w:tc>
          <w:tcPr>
            <w:tcW w:w="466" w:type="pct"/>
            <w:tcBorders>
              <w:top w:val="nil"/>
              <w:left w:val="nil"/>
              <w:bottom w:val="single" w:sz="4" w:space="0" w:color="auto"/>
              <w:right w:val="single" w:sz="12"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59" w:type="pct"/>
            <w:tcBorders>
              <w:top w:val="nil"/>
              <w:left w:val="single" w:sz="12" w:space="0" w:color="auto"/>
              <w:bottom w:val="single" w:sz="4"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12</w:t>
            </w:r>
            <w:r w:rsidR="00925B68">
              <w:rPr>
                <w:b/>
                <w:color w:val="000000"/>
                <w:sz w:val="22"/>
                <w:szCs w:val="22"/>
                <w:lang w:eastAsia="en-GB"/>
              </w:rPr>
              <w:t>,</w:t>
            </w:r>
            <w:r w:rsidRPr="00A5597F">
              <w:rPr>
                <w:b/>
                <w:color w:val="000000"/>
                <w:sz w:val="22"/>
                <w:szCs w:val="22"/>
                <w:lang w:eastAsia="en-GB"/>
              </w:rPr>
              <w:t>48</w:t>
            </w:r>
          </w:p>
        </w:tc>
      </w:tr>
      <w:tr w:rsidR="00E64F14" w:rsidRPr="00A5597F" w:rsidTr="00FC4A1D">
        <w:trPr>
          <w:trHeight w:val="315"/>
        </w:trPr>
        <w:tc>
          <w:tcPr>
            <w:tcW w:w="813" w:type="pct"/>
            <w:tcBorders>
              <w:top w:val="nil"/>
              <w:left w:val="single" w:sz="12" w:space="0" w:color="auto"/>
              <w:bottom w:val="single" w:sz="12" w:space="0" w:color="auto"/>
              <w:right w:val="single" w:sz="12" w:space="0" w:color="auto"/>
            </w:tcBorders>
            <w:shd w:val="clear" w:color="auto" w:fill="F2F2F2" w:themeFill="background1" w:themeFillShade="F2"/>
            <w:noWrap/>
            <w:hideMark/>
          </w:tcPr>
          <w:p w:rsidR="00E64F14" w:rsidRPr="00A5597F" w:rsidRDefault="00E64F14" w:rsidP="00C24362">
            <w:pPr>
              <w:jc w:val="center"/>
              <w:rPr>
                <w:color w:val="000000"/>
                <w:lang w:eastAsia="en-GB"/>
              </w:rPr>
            </w:pPr>
            <w:r w:rsidRPr="00A5597F">
              <w:rPr>
                <w:sz w:val="22"/>
                <w:szCs w:val="22"/>
                <w:lang/>
              </w:rPr>
              <w:t>Бор</w:t>
            </w:r>
          </w:p>
        </w:tc>
        <w:tc>
          <w:tcPr>
            <w:tcW w:w="466" w:type="pct"/>
            <w:tcBorders>
              <w:top w:val="nil"/>
              <w:left w:val="single" w:sz="12" w:space="0" w:color="auto"/>
              <w:bottom w:val="single" w:sz="12"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12"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12"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12"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12"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12" w:space="0" w:color="auto"/>
              <w:right w:val="single" w:sz="4" w:space="0" w:color="auto"/>
            </w:tcBorders>
            <w:shd w:val="clear" w:color="auto" w:fill="auto"/>
            <w:noWrap/>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12" w:space="0" w:color="auto"/>
              <w:right w:val="single" w:sz="4"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w:t>
            </w:r>
          </w:p>
        </w:tc>
        <w:tc>
          <w:tcPr>
            <w:tcW w:w="466" w:type="pct"/>
            <w:tcBorders>
              <w:top w:val="nil"/>
              <w:left w:val="nil"/>
              <w:bottom w:val="single" w:sz="12" w:space="0" w:color="auto"/>
              <w:right w:val="single" w:sz="12" w:space="0" w:color="auto"/>
            </w:tcBorders>
            <w:shd w:val="clear" w:color="auto" w:fill="auto"/>
            <w:noWrap/>
            <w:vAlign w:val="center"/>
            <w:hideMark/>
          </w:tcPr>
          <w:p w:rsidR="00E64F14" w:rsidRPr="00A5597F" w:rsidRDefault="00E64F14" w:rsidP="00C24362">
            <w:pPr>
              <w:jc w:val="center"/>
              <w:rPr>
                <w:color w:val="000000"/>
                <w:lang w:eastAsia="en-GB"/>
              </w:rPr>
            </w:pPr>
            <w:r w:rsidRPr="00A5597F">
              <w:rPr>
                <w:color w:val="000000"/>
                <w:sz w:val="22"/>
                <w:szCs w:val="22"/>
                <w:lang w:eastAsia="en-GB"/>
              </w:rPr>
              <w:t>77</w:t>
            </w:r>
            <w:r w:rsidR="00925B68">
              <w:rPr>
                <w:color w:val="000000"/>
                <w:sz w:val="22"/>
                <w:szCs w:val="22"/>
                <w:lang w:eastAsia="en-GB"/>
              </w:rPr>
              <w:t>,</w:t>
            </w:r>
            <w:r w:rsidRPr="00A5597F">
              <w:rPr>
                <w:color w:val="000000"/>
                <w:sz w:val="22"/>
                <w:szCs w:val="22"/>
                <w:lang w:eastAsia="en-GB"/>
              </w:rPr>
              <w:t>87</w:t>
            </w:r>
          </w:p>
        </w:tc>
        <w:tc>
          <w:tcPr>
            <w:tcW w:w="459" w:type="pct"/>
            <w:tcBorders>
              <w:top w:val="nil"/>
              <w:left w:val="single" w:sz="12" w:space="0" w:color="auto"/>
              <w:bottom w:val="single" w:sz="12" w:space="0" w:color="auto"/>
              <w:right w:val="single" w:sz="12" w:space="0" w:color="auto"/>
            </w:tcBorders>
            <w:shd w:val="clear" w:color="auto" w:fill="auto"/>
            <w:noWrap/>
            <w:vAlign w:val="center"/>
            <w:hideMark/>
          </w:tcPr>
          <w:p w:rsidR="00E64F14" w:rsidRPr="00A5597F" w:rsidRDefault="00E64F14" w:rsidP="00C24362">
            <w:pPr>
              <w:jc w:val="center"/>
              <w:rPr>
                <w:b/>
                <w:color w:val="000000"/>
                <w:lang w:eastAsia="en-GB"/>
              </w:rPr>
            </w:pPr>
            <w:r w:rsidRPr="00A5597F">
              <w:rPr>
                <w:b/>
                <w:color w:val="000000"/>
                <w:sz w:val="22"/>
                <w:szCs w:val="22"/>
                <w:lang w:eastAsia="en-GB"/>
              </w:rPr>
              <w:t>77</w:t>
            </w:r>
            <w:r w:rsidR="00925B68">
              <w:rPr>
                <w:b/>
                <w:color w:val="000000"/>
                <w:sz w:val="22"/>
                <w:szCs w:val="22"/>
                <w:lang w:eastAsia="en-GB"/>
              </w:rPr>
              <w:t>,</w:t>
            </w:r>
            <w:r w:rsidRPr="00A5597F">
              <w:rPr>
                <w:b/>
                <w:color w:val="000000"/>
                <w:sz w:val="22"/>
                <w:szCs w:val="22"/>
                <w:lang w:eastAsia="en-GB"/>
              </w:rPr>
              <w:t>87</w:t>
            </w:r>
          </w:p>
        </w:tc>
      </w:tr>
      <w:tr w:rsidR="00772822" w:rsidRPr="00A5597F" w:rsidTr="00772822">
        <w:trPr>
          <w:trHeight w:val="315"/>
        </w:trPr>
        <w:tc>
          <w:tcPr>
            <w:tcW w:w="81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rsidR="00772822" w:rsidRPr="00A5597F" w:rsidRDefault="00E64F14" w:rsidP="00C24362">
            <w:pPr>
              <w:jc w:val="center"/>
              <w:rPr>
                <w:b/>
                <w:color w:val="000000"/>
                <w:lang w:eastAsia="en-GB"/>
              </w:rPr>
            </w:pPr>
            <w:r w:rsidRPr="00A5597F">
              <w:rPr>
                <w:b/>
                <w:color w:val="000000"/>
                <w:sz w:val="22"/>
                <w:szCs w:val="22"/>
                <w:lang w:eastAsia="en-GB"/>
              </w:rPr>
              <w:t>Укупно</w:t>
            </w:r>
          </w:p>
        </w:tc>
        <w:tc>
          <w:tcPr>
            <w:tcW w:w="466"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12</w:t>
            </w:r>
            <w:r w:rsidR="00925B68">
              <w:rPr>
                <w:b/>
                <w:color w:val="000000"/>
                <w:sz w:val="22"/>
                <w:szCs w:val="22"/>
                <w:lang w:eastAsia="en-GB"/>
              </w:rPr>
              <w:t>,</w:t>
            </w:r>
            <w:r w:rsidRPr="00A5597F">
              <w:rPr>
                <w:b/>
                <w:color w:val="000000"/>
                <w:sz w:val="22"/>
                <w:szCs w:val="22"/>
                <w:lang w:eastAsia="en-GB"/>
              </w:rPr>
              <w:t>15</w:t>
            </w:r>
          </w:p>
        </w:tc>
        <w:tc>
          <w:tcPr>
            <w:tcW w:w="466" w:type="pct"/>
            <w:tcBorders>
              <w:top w:val="single" w:sz="12" w:space="0" w:color="auto"/>
              <w:left w:val="nil"/>
              <w:bottom w:val="single" w:sz="12" w:space="0" w:color="auto"/>
              <w:right w:val="single" w:sz="4" w:space="0" w:color="auto"/>
            </w:tcBorders>
            <w:shd w:val="clear" w:color="auto" w:fill="auto"/>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63</w:t>
            </w:r>
            <w:r w:rsidR="00925B68">
              <w:rPr>
                <w:b/>
                <w:color w:val="000000"/>
                <w:sz w:val="22"/>
                <w:szCs w:val="22"/>
                <w:lang w:eastAsia="en-GB"/>
              </w:rPr>
              <w:t>,</w:t>
            </w:r>
            <w:r w:rsidRPr="00A5597F">
              <w:rPr>
                <w:b/>
                <w:color w:val="000000"/>
                <w:sz w:val="22"/>
                <w:szCs w:val="22"/>
                <w:lang w:eastAsia="en-GB"/>
              </w:rPr>
              <w:t>58</w:t>
            </w:r>
          </w:p>
        </w:tc>
        <w:tc>
          <w:tcPr>
            <w:tcW w:w="466" w:type="pct"/>
            <w:tcBorders>
              <w:top w:val="single" w:sz="12" w:space="0" w:color="auto"/>
              <w:left w:val="nil"/>
              <w:bottom w:val="single" w:sz="12" w:space="0" w:color="auto"/>
              <w:right w:val="single" w:sz="4" w:space="0" w:color="auto"/>
            </w:tcBorders>
            <w:shd w:val="clear" w:color="auto" w:fill="auto"/>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79</w:t>
            </w:r>
            <w:r w:rsidR="00925B68">
              <w:rPr>
                <w:b/>
                <w:color w:val="000000"/>
                <w:sz w:val="22"/>
                <w:szCs w:val="22"/>
                <w:lang w:eastAsia="en-GB"/>
              </w:rPr>
              <w:t>,</w:t>
            </w:r>
            <w:r w:rsidRPr="00A5597F">
              <w:rPr>
                <w:b/>
                <w:color w:val="000000"/>
                <w:sz w:val="22"/>
                <w:szCs w:val="22"/>
                <w:lang w:eastAsia="en-GB"/>
              </w:rPr>
              <w:t>14</w:t>
            </w:r>
          </w:p>
        </w:tc>
        <w:tc>
          <w:tcPr>
            <w:tcW w:w="466" w:type="pct"/>
            <w:tcBorders>
              <w:top w:val="single" w:sz="12" w:space="0" w:color="auto"/>
              <w:left w:val="nil"/>
              <w:bottom w:val="single" w:sz="12" w:space="0" w:color="auto"/>
              <w:right w:val="single" w:sz="4" w:space="0" w:color="auto"/>
            </w:tcBorders>
            <w:shd w:val="clear" w:color="auto" w:fill="auto"/>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12</w:t>
            </w:r>
            <w:r w:rsidR="00925B68">
              <w:rPr>
                <w:b/>
                <w:color w:val="000000"/>
                <w:sz w:val="22"/>
                <w:szCs w:val="22"/>
                <w:lang w:eastAsia="en-GB"/>
              </w:rPr>
              <w:t>,</w:t>
            </w:r>
            <w:r w:rsidRPr="00A5597F">
              <w:rPr>
                <w:b/>
                <w:color w:val="000000"/>
                <w:sz w:val="22"/>
                <w:szCs w:val="22"/>
                <w:lang w:eastAsia="en-GB"/>
              </w:rPr>
              <w:t>08</w:t>
            </w:r>
          </w:p>
        </w:tc>
        <w:tc>
          <w:tcPr>
            <w:tcW w:w="466" w:type="pct"/>
            <w:tcBorders>
              <w:top w:val="single" w:sz="12" w:space="0" w:color="auto"/>
              <w:left w:val="nil"/>
              <w:bottom w:val="single" w:sz="12" w:space="0" w:color="auto"/>
              <w:right w:val="single" w:sz="4" w:space="0" w:color="auto"/>
            </w:tcBorders>
            <w:shd w:val="clear" w:color="auto" w:fill="auto"/>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0</w:t>
            </w:r>
            <w:r w:rsidR="00925B68">
              <w:rPr>
                <w:b/>
                <w:color w:val="000000"/>
                <w:sz w:val="22"/>
                <w:szCs w:val="22"/>
                <w:lang w:eastAsia="en-GB"/>
              </w:rPr>
              <w:t>,</w:t>
            </w:r>
            <w:r w:rsidRPr="00A5597F">
              <w:rPr>
                <w:b/>
                <w:color w:val="000000"/>
                <w:sz w:val="22"/>
                <w:szCs w:val="22"/>
                <w:lang w:eastAsia="en-GB"/>
              </w:rPr>
              <w:t>00</w:t>
            </w:r>
          </w:p>
        </w:tc>
        <w:tc>
          <w:tcPr>
            <w:tcW w:w="466" w:type="pct"/>
            <w:tcBorders>
              <w:top w:val="single" w:sz="12" w:space="0" w:color="auto"/>
              <w:left w:val="nil"/>
              <w:bottom w:val="single" w:sz="12" w:space="0" w:color="auto"/>
              <w:right w:val="single" w:sz="4" w:space="0" w:color="auto"/>
            </w:tcBorders>
            <w:shd w:val="clear" w:color="auto" w:fill="auto"/>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0</w:t>
            </w:r>
            <w:r w:rsidR="00925B68">
              <w:rPr>
                <w:b/>
                <w:color w:val="000000"/>
                <w:sz w:val="22"/>
                <w:szCs w:val="22"/>
                <w:lang w:eastAsia="en-GB"/>
              </w:rPr>
              <w:t>,</w:t>
            </w:r>
            <w:r w:rsidRPr="00A5597F">
              <w:rPr>
                <w:b/>
                <w:color w:val="000000"/>
                <w:sz w:val="22"/>
                <w:szCs w:val="22"/>
                <w:lang w:eastAsia="en-GB"/>
              </w:rPr>
              <w:t>00</w:t>
            </w:r>
          </w:p>
        </w:tc>
        <w:tc>
          <w:tcPr>
            <w:tcW w:w="466" w:type="pct"/>
            <w:tcBorders>
              <w:top w:val="single" w:sz="12" w:space="0" w:color="auto"/>
              <w:left w:val="nil"/>
              <w:bottom w:val="single" w:sz="12" w:space="0" w:color="auto"/>
              <w:right w:val="single" w:sz="4" w:space="0" w:color="auto"/>
            </w:tcBorders>
            <w:shd w:val="clear" w:color="auto" w:fill="auto"/>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12</w:t>
            </w:r>
            <w:r w:rsidR="00925B68">
              <w:rPr>
                <w:b/>
                <w:color w:val="000000"/>
                <w:sz w:val="22"/>
                <w:szCs w:val="22"/>
                <w:lang w:eastAsia="en-GB"/>
              </w:rPr>
              <w:t>,</w:t>
            </w:r>
            <w:r w:rsidRPr="00A5597F">
              <w:rPr>
                <w:b/>
                <w:color w:val="000000"/>
                <w:sz w:val="22"/>
                <w:szCs w:val="22"/>
                <w:lang w:eastAsia="en-GB"/>
              </w:rPr>
              <w:t>48</w:t>
            </w:r>
          </w:p>
        </w:tc>
        <w:tc>
          <w:tcPr>
            <w:tcW w:w="466" w:type="pct"/>
            <w:tcBorders>
              <w:top w:val="single" w:sz="12" w:space="0" w:color="auto"/>
              <w:left w:val="nil"/>
              <w:bottom w:val="single" w:sz="12" w:space="0" w:color="auto"/>
              <w:right w:val="single" w:sz="12" w:space="0" w:color="auto"/>
            </w:tcBorders>
            <w:shd w:val="clear" w:color="auto" w:fill="auto"/>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190</w:t>
            </w:r>
            <w:r w:rsidR="00925B68">
              <w:rPr>
                <w:b/>
                <w:color w:val="000000"/>
                <w:sz w:val="22"/>
                <w:szCs w:val="22"/>
                <w:lang w:eastAsia="en-GB"/>
              </w:rPr>
              <w:t>,</w:t>
            </w:r>
            <w:r w:rsidRPr="00A5597F">
              <w:rPr>
                <w:b/>
                <w:color w:val="000000"/>
                <w:sz w:val="22"/>
                <w:szCs w:val="22"/>
                <w:lang w:eastAsia="en-GB"/>
              </w:rPr>
              <w:t>24</w:t>
            </w:r>
          </w:p>
        </w:tc>
        <w:tc>
          <w:tcPr>
            <w:tcW w:w="459"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72822" w:rsidRPr="00A5597F" w:rsidRDefault="00772822" w:rsidP="00C24362">
            <w:pPr>
              <w:jc w:val="center"/>
              <w:rPr>
                <w:b/>
                <w:color w:val="000000"/>
                <w:lang w:eastAsia="en-GB"/>
              </w:rPr>
            </w:pPr>
            <w:r w:rsidRPr="00A5597F">
              <w:rPr>
                <w:b/>
                <w:color w:val="000000"/>
                <w:sz w:val="22"/>
                <w:szCs w:val="22"/>
                <w:lang w:eastAsia="en-GB"/>
              </w:rPr>
              <w:t>369</w:t>
            </w:r>
            <w:r w:rsidR="00925B68">
              <w:rPr>
                <w:b/>
                <w:color w:val="000000"/>
                <w:sz w:val="22"/>
                <w:szCs w:val="22"/>
                <w:lang w:eastAsia="en-GB"/>
              </w:rPr>
              <w:t>,</w:t>
            </w:r>
            <w:r w:rsidRPr="00A5597F">
              <w:rPr>
                <w:b/>
                <w:color w:val="000000"/>
                <w:sz w:val="22"/>
                <w:szCs w:val="22"/>
                <w:lang w:eastAsia="en-GB"/>
              </w:rPr>
              <w:t>67</w:t>
            </w:r>
          </w:p>
        </w:tc>
      </w:tr>
    </w:tbl>
    <w:p w:rsidR="00772822" w:rsidRPr="00A5597F" w:rsidRDefault="00772822" w:rsidP="00C24362">
      <w:pPr>
        <w:rPr>
          <w:rFonts w:eastAsia="Calibri"/>
          <w:sz w:val="22"/>
          <w:szCs w:val="22"/>
          <w:lang w:eastAsia="en-GB"/>
        </w:rPr>
      </w:pPr>
    </w:p>
    <w:p w:rsidR="00772822" w:rsidRPr="00D52A15" w:rsidRDefault="00A5597F" w:rsidP="00A5597F">
      <w:pPr>
        <w:pStyle w:val="Heading3"/>
        <w:numPr>
          <w:ilvl w:val="0"/>
          <w:numId w:val="0"/>
        </w:numPr>
        <w:spacing w:before="0" w:line="240" w:lineRule="auto"/>
        <w:rPr>
          <w:rFonts w:ascii="Times New Roman" w:hAnsi="Times New Roman" w:cs="Times New Roman"/>
          <w:b w:val="0"/>
          <w:bCs w:val="0"/>
          <w:color w:val="000000" w:themeColor="text1"/>
          <w:sz w:val="24"/>
          <w:szCs w:val="24"/>
          <w:lang/>
        </w:rPr>
      </w:pPr>
      <w:r>
        <w:rPr>
          <w:rFonts w:ascii="Times New Roman" w:hAnsi="Times New Roman" w:cs="Times New Roman"/>
          <w:b w:val="0"/>
          <w:bCs w:val="0"/>
          <w:color w:val="000000" w:themeColor="text1"/>
          <w:sz w:val="24"/>
          <w:szCs w:val="24"/>
          <w:lang w:val="en-US"/>
        </w:rPr>
        <w:t xml:space="preserve">3.5 </w:t>
      </w:r>
      <w:r w:rsidR="00E64F14" w:rsidRPr="00D52A15">
        <w:rPr>
          <w:rFonts w:ascii="Times New Roman" w:hAnsi="Times New Roman" w:cs="Times New Roman"/>
          <w:b w:val="0"/>
          <w:bCs w:val="0"/>
          <w:color w:val="000000" w:themeColor="text1"/>
          <w:sz w:val="24"/>
          <w:szCs w:val="24"/>
          <w:lang/>
        </w:rPr>
        <w:t>Технички потенцијал</w:t>
      </w:r>
      <w:r w:rsidR="00437124" w:rsidRPr="00D52A15">
        <w:rPr>
          <w:rFonts w:ascii="Times New Roman" w:hAnsi="Times New Roman" w:cs="Times New Roman"/>
          <w:b w:val="0"/>
          <w:bCs w:val="0"/>
          <w:color w:val="000000" w:themeColor="text1"/>
          <w:sz w:val="24"/>
          <w:szCs w:val="24"/>
          <w:lang/>
        </w:rPr>
        <w:t>топлоте</w:t>
      </w:r>
      <w:r w:rsidR="00A47226" w:rsidRPr="00D52A15">
        <w:rPr>
          <w:rFonts w:ascii="Times New Roman" w:hAnsi="Times New Roman" w:cs="Times New Roman"/>
          <w:b w:val="0"/>
          <w:bCs w:val="0"/>
          <w:color w:val="000000" w:themeColor="text1"/>
          <w:sz w:val="24"/>
          <w:szCs w:val="24"/>
          <w:lang/>
        </w:rPr>
        <w:t>пречишћених отпадних вода</w:t>
      </w:r>
    </w:p>
    <w:p w:rsidR="008167AA" w:rsidRPr="00D52A15" w:rsidRDefault="008167AA" w:rsidP="00C24362">
      <w:pPr>
        <w:rPr>
          <w:lang/>
        </w:rPr>
      </w:pPr>
    </w:p>
    <w:p w:rsidR="00E870A3" w:rsidRPr="00D52A15" w:rsidRDefault="00364839" w:rsidP="00C24362">
      <w:pPr>
        <w:rPr>
          <w:b/>
          <w:bCs/>
          <w:lang/>
        </w:rPr>
      </w:pPr>
      <w:r w:rsidRPr="00D52A15">
        <w:rPr>
          <w:lang/>
        </w:rPr>
        <w:lastRenderedPageBreak/>
        <w:t xml:space="preserve">Методологија која је примењена за одређивање техничког потенцијала за коришћење отпадне топлоте из канализационих вода у основи има одређивање топлотног потенцијала пречишћене отпадне воде који се може регенерисати. Технички потенцијал је одређен коришћењем </w:t>
      </w:r>
      <w:r w:rsidR="00E64F14" w:rsidRPr="00D52A15">
        <w:rPr>
          <w:lang/>
        </w:rPr>
        <w:t xml:space="preserve">расположивих </w:t>
      </w:r>
      <w:r w:rsidRPr="00D52A15">
        <w:rPr>
          <w:lang/>
        </w:rPr>
        <w:t xml:space="preserve">података </w:t>
      </w:r>
      <w:r w:rsidR="00E64F14" w:rsidRPr="00D52A15">
        <w:rPr>
          <w:lang/>
        </w:rPr>
        <w:t xml:space="preserve">мерења </w:t>
      </w:r>
      <w:r w:rsidR="00A5597F" w:rsidRPr="00D52A15">
        <w:rPr>
          <w:lang/>
        </w:rPr>
        <w:t>постројења</w:t>
      </w:r>
      <w:r w:rsidRPr="00D52A15">
        <w:rPr>
          <w:lang/>
        </w:rPr>
        <w:t xml:space="preserve"> за пречишћавање отпадних вода у Шапцу</w:t>
      </w:r>
      <w:r w:rsidR="00F165E9">
        <w:rPr>
          <w:lang/>
        </w:rPr>
        <w:t xml:space="preserve"> [</w:t>
      </w:r>
      <w:r w:rsidR="0053416E">
        <w:rPr>
          <w:lang w:val="en-US"/>
        </w:rPr>
        <w:t>8</w:t>
      </w:r>
      <w:r w:rsidR="00F165E9">
        <w:rPr>
          <w:lang/>
        </w:rPr>
        <w:t>]</w:t>
      </w:r>
      <w:r w:rsidRPr="00D52A15">
        <w:rPr>
          <w:lang/>
        </w:rPr>
        <w:t xml:space="preserve">. </w:t>
      </w:r>
      <w:r w:rsidR="00E64F14" w:rsidRPr="00D52A15">
        <w:rPr>
          <w:lang/>
        </w:rPr>
        <w:t>Као резултат добијен је индикатор који даје количину произведене топлотне енергије по становнику</w:t>
      </w:r>
      <w:r w:rsidRPr="00D52A15">
        <w:rPr>
          <w:lang/>
        </w:rPr>
        <w:t>. Коришћењем наведене методологије одређена је вредност индикатора која износи 379</w:t>
      </w:r>
      <w:r w:rsidR="009A0FFB" w:rsidRPr="00D52A15">
        <w:rPr>
          <w:lang/>
        </w:rPr>
        <w:t>,</w:t>
      </w:r>
      <w:r w:rsidRPr="00D52A15">
        <w:rPr>
          <w:lang/>
        </w:rPr>
        <w:t>8kWh/становник</w:t>
      </w:r>
      <w:r w:rsidR="00437124" w:rsidRPr="00D52A15">
        <w:rPr>
          <w:lang/>
        </w:rPr>
        <w:t>у</w:t>
      </w:r>
      <w:r w:rsidRPr="00D52A15">
        <w:rPr>
          <w:lang/>
        </w:rPr>
        <w:t xml:space="preserve"> годишње, што је даље примењено за грубу процену те</w:t>
      </w:r>
      <w:r w:rsidR="00E870A3" w:rsidRPr="00D52A15">
        <w:rPr>
          <w:lang/>
        </w:rPr>
        <w:t>оретског</w:t>
      </w:r>
      <w:r w:rsidRPr="00D52A15">
        <w:rPr>
          <w:lang/>
        </w:rPr>
        <w:t xml:space="preserve"> потенцијала за овакав начин производње топлотне енергије. </w:t>
      </w:r>
      <w:r w:rsidR="00E870A3" w:rsidRPr="00D52A15">
        <w:rPr>
          <w:lang/>
        </w:rPr>
        <w:t>Теоретски потенцијал је проц</w:t>
      </w:r>
      <w:r w:rsidR="00E870A3" w:rsidRPr="00D52A15">
        <w:rPr>
          <w:b/>
          <w:lang/>
        </w:rPr>
        <w:t>е</w:t>
      </w:r>
      <w:r w:rsidR="00E870A3" w:rsidRPr="00D52A15">
        <w:rPr>
          <w:lang/>
        </w:rPr>
        <w:t xml:space="preserve">њен </w:t>
      </w:r>
      <w:r w:rsidR="00F165E9">
        <w:rPr>
          <w:lang/>
        </w:rPr>
        <w:t>н</w:t>
      </w:r>
      <w:r w:rsidR="00E870A3" w:rsidRPr="00D52A15">
        <w:rPr>
          <w:lang/>
        </w:rPr>
        <w:t>а 1766</w:t>
      </w:r>
      <w:r w:rsidR="00E870A3" w:rsidRPr="00D52A15">
        <w:rPr>
          <w:bCs/>
          <w:lang/>
        </w:rPr>
        <w:t>GWh годишње,</w:t>
      </w:r>
      <w:r w:rsidR="00E870A3" w:rsidRPr="00D52A15">
        <w:rPr>
          <w:lang/>
        </w:rPr>
        <w:t xml:space="preserve">док је одговарајућа топлотна снага 470 МW. Процена снаге и годишње производње топлотне енергије дата је у </w:t>
      </w:r>
      <w:r w:rsidR="00A47226" w:rsidRPr="00D52A15">
        <w:rPr>
          <w:lang/>
        </w:rPr>
        <w:t>Т</w:t>
      </w:r>
      <w:r w:rsidR="00E870A3" w:rsidRPr="00D52A15">
        <w:rPr>
          <w:lang/>
        </w:rPr>
        <w:t>абели</w:t>
      </w:r>
      <w:r w:rsidR="00A5597F" w:rsidRPr="00A5597F">
        <w:rPr>
          <w:lang w:val="en-US"/>
        </w:rPr>
        <w:t>4</w:t>
      </w:r>
      <w:r w:rsidR="009A0FFB" w:rsidRPr="00A5597F">
        <w:rPr>
          <w:lang/>
        </w:rPr>
        <w:t>.</w:t>
      </w:r>
    </w:p>
    <w:p w:rsidR="00772822" w:rsidRPr="00D52A15" w:rsidRDefault="00772822" w:rsidP="00C24362">
      <w:pPr>
        <w:rPr>
          <w:lang/>
        </w:rPr>
      </w:pPr>
    </w:p>
    <w:p w:rsidR="00772822" w:rsidRPr="005F1AFE" w:rsidRDefault="008167AA" w:rsidP="00C24362">
      <w:pPr>
        <w:rPr>
          <w:i/>
          <w:iCs/>
          <w:lang/>
        </w:rPr>
      </w:pPr>
      <w:bookmarkStart w:id="4" w:name="_Toc129629269"/>
      <w:bookmarkStart w:id="5" w:name="_Toc130481927"/>
      <w:r w:rsidRPr="005F1AFE">
        <w:rPr>
          <w:i/>
          <w:iCs/>
          <w:lang/>
        </w:rPr>
        <w:t xml:space="preserve">Табела </w:t>
      </w:r>
      <w:bookmarkEnd w:id="4"/>
      <w:bookmarkEnd w:id="5"/>
      <w:r w:rsidR="00A5597F" w:rsidRPr="005F1AFE">
        <w:rPr>
          <w:i/>
          <w:iCs/>
          <w:lang w:val="en-US"/>
        </w:rPr>
        <w:t>4</w:t>
      </w:r>
      <w:r w:rsidRPr="005F1AFE">
        <w:rPr>
          <w:i/>
          <w:iCs/>
          <w:lang/>
        </w:rPr>
        <w:t>. Потенцијал коришћења топлоте отпадних вода</w:t>
      </w:r>
      <w:r w:rsidR="005F1AFE" w:rsidRPr="005F1AFE">
        <w:rPr>
          <w:i/>
          <w:iCs/>
          <w:lang w:val="en-US"/>
        </w:rPr>
        <w:t>[1</w:t>
      </w:r>
      <w:r w:rsidR="0053416E">
        <w:rPr>
          <w:i/>
          <w:iCs/>
          <w:lang w:val="en-US"/>
        </w:rPr>
        <w:t>0</w:t>
      </w:r>
      <w:r w:rsidR="005F1AFE" w:rsidRPr="005F1AFE">
        <w:rPr>
          <w:i/>
          <w:iCs/>
          <w:lang w:val="en-US"/>
        </w:rPr>
        <w:t>]</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tblPr>
      <w:tblGrid>
        <w:gridCol w:w="3285"/>
        <w:gridCol w:w="3286"/>
        <w:gridCol w:w="3284"/>
      </w:tblGrid>
      <w:tr w:rsidR="00772822" w:rsidRPr="00D52A15" w:rsidTr="00772822">
        <w:tc>
          <w:tcPr>
            <w:tcW w:w="1667" w:type="pct"/>
            <w:vMerge w:val="restart"/>
            <w:tcBorders>
              <w:top w:val="single" w:sz="12" w:space="0" w:color="auto"/>
              <w:bottom w:val="single" w:sz="4" w:space="0" w:color="auto"/>
              <w:right w:val="single" w:sz="12" w:space="0" w:color="auto"/>
            </w:tcBorders>
            <w:shd w:val="clear" w:color="auto" w:fill="F2F2F2" w:themeFill="background1" w:themeFillShade="F2"/>
            <w:vAlign w:val="center"/>
          </w:tcPr>
          <w:p w:rsidR="00772822" w:rsidRPr="00A5597F" w:rsidRDefault="008167AA" w:rsidP="00C24362">
            <w:pPr>
              <w:jc w:val="center"/>
              <w:rPr>
                <w:rFonts w:cstheme="minorHAnsi"/>
                <w:b/>
                <w:sz w:val="22"/>
                <w:szCs w:val="22"/>
                <w:lang w:eastAsia="zh-CN"/>
              </w:rPr>
            </w:pPr>
            <w:r w:rsidRPr="00A5597F">
              <w:rPr>
                <w:rFonts w:cstheme="minorHAnsi"/>
                <w:b/>
                <w:sz w:val="22"/>
                <w:szCs w:val="22"/>
                <w:lang w:eastAsia="zh-CN"/>
              </w:rPr>
              <w:t>СДГ</w:t>
            </w:r>
          </w:p>
        </w:tc>
        <w:tc>
          <w:tcPr>
            <w:tcW w:w="3333" w:type="pct"/>
            <w:gridSpan w:val="2"/>
            <w:tcBorders>
              <w:top w:val="single" w:sz="12" w:space="0" w:color="auto"/>
              <w:left w:val="single" w:sz="12" w:space="0" w:color="auto"/>
              <w:bottom w:val="single" w:sz="4" w:space="0" w:color="auto"/>
            </w:tcBorders>
            <w:shd w:val="clear" w:color="auto" w:fill="F2F2F2" w:themeFill="background1" w:themeFillShade="F2"/>
            <w:vAlign w:val="center"/>
          </w:tcPr>
          <w:p w:rsidR="00772822" w:rsidRPr="00A5597F" w:rsidRDefault="008167AA" w:rsidP="00C24362">
            <w:pPr>
              <w:jc w:val="center"/>
              <w:rPr>
                <w:rFonts w:cstheme="minorHAnsi"/>
                <w:b/>
                <w:sz w:val="22"/>
                <w:szCs w:val="22"/>
                <w:lang w:eastAsia="zh-CN"/>
              </w:rPr>
            </w:pPr>
            <w:r w:rsidRPr="00A5597F">
              <w:rPr>
                <w:rFonts w:cstheme="minorHAnsi"/>
                <w:b/>
                <w:sz w:val="22"/>
                <w:szCs w:val="22"/>
                <w:lang w:eastAsia="zh-CN"/>
              </w:rPr>
              <w:t>Топлотне пумпе</w:t>
            </w:r>
          </w:p>
        </w:tc>
      </w:tr>
      <w:tr w:rsidR="00772822" w:rsidRPr="00D52A15" w:rsidTr="008167AA">
        <w:tc>
          <w:tcPr>
            <w:tcW w:w="1667" w:type="pct"/>
            <w:vMerge/>
            <w:tcBorders>
              <w:top w:val="single" w:sz="4" w:space="0" w:color="auto"/>
              <w:bottom w:val="single" w:sz="12" w:space="0" w:color="auto"/>
              <w:right w:val="single" w:sz="12" w:space="0" w:color="auto"/>
            </w:tcBorders>
            <w:shd w:val="clear" w:color="auto" w:fill="F2F2F2" w:themeFill="background1" w:themeFillShade="F2"/>
            <w:vAlign w:val="center"/>
          </w:tcPr>
          <w:p w:rsidR="00772822" w:rsidRPr="00A5597F" w:rsidRDefault="00772822" w:rsidP="00C24362">
            <w:pPr>
              <w:jc w:val="center"/>
              <w:rPr>
                <w:rFonts w:cstheme="minorHAnsi"/>
                <w:b/>
                <w:sz w:val="22"/>
                <w:szCs w:val="22"/>
                <w:lang w:eastAsia="zh-CN"/>
              </w:rPr>
            </w:pPr>
          </w:p>
        </w:tc>
        <w:tc>
          <w:tcPr>
            <w:tcW w:w="1667" w:type="pct"/>
            <w:tcBorders>
              <w:top w:val="single" w:sz="4" w:space="0" w:color="auto"/>
              <w:left w:val="single" w:sz="12" w:space="0" w:color="auto"/>
              <w:bottom w:val="single" w:sz="12" w:space="0" w:color="auto"/>
            </w:tcBorders>
            <w:shd w:val="clear" w:color="auto" w:fill="F2F2F2" w:themeFill="background1" w:themeFillShade="F2"/>
            <w:vAlign w:val="center"/>
          </w:tcPr>
          <w:p w:rsidR="00772822" w:rsidRPr="00A5597F" w:rsidRDefault="008167AA" w:rsidP="00C24362">
            <w:pPr>
              <w:jc w:val="center"/>
              <w:rPr>
                <w:rFonts w:cstheme="minorHAnsi"/>
                <w:b/>
                <w:sz w:val="22"/>
                <w:szCs w:val="22"/>
                <w:lang w:eastAsia="zh-CN"/>
              </w:rPr>
            </w:pPr>
            <w:r w:rsidRPr="00A5597F">
              <w:rPr>
                <w:rFonts w:cstheme="minorHAnsi"/>
                <w:b/>
                <w:sz w:val="22"/>
                <w:szCs w:val="22"/>
                <w:lang w:eastAsia="zh-CN"/>
              </w:rPr>
              <w:t>Номинална снага</w:t>
            </w:r>
            <w:r w:rsidR="00772822" w:rsidRPr="00A5597F">
              <w:rPr>
                <w:rFonts w:cstheme="minorHAnsi"/>
                <w:b/>
                <w:sz w:val="22"/>
                <w:szCs w:val="22"/>
                <w:lang w:eastAsia="zh-CN"/>
              </w:rPr>
              <w:t xml:space="preserve"> (MW)</w:t>
            </w:r>
          </w:p>
        </w:tc>
        <w:tc>
          <w:tcPr>
            <w:tcW w:w="1666" w:type="pct"/>
            <w:tcBorders>
              <w:top w:val="single" w:sz="4" w:space="0" w:color="auto"/>
              <w:bottom w:val="single" w:sz="12" w:space="0" w:color="auto"/>
            </w:tcBorders>
            <w:shd w:val="clear" w:color="auto" w:fill="F2F2F2" w:themeFill="background1" w:themeFillShade="F2"/>
            <w:vAlign w:val="center"/>
          </w:tcPr>
          <w:p w:rsidR="00772822" w:rsidRPr="00A5597F" w:rsidRDefault="008167AA" w:rsidP="00C24362">
            <w:pPr>
              <w:jc w:val="center"/>
              <w:rPr>
                <w:rFonts w:cstheme="minorHAnsi"/>
                <w:b/>
                <w:sz w:val="22"/>
                <w:szCs w:val="22"/>
                <w:lang w:eastAsia="zh-CN"/>
              </w:rPr>
            </w:pPr>
            <w:r w:rsidRPr="00A5597F">
              <w:rPr>
                <w:rFonts w:cstheme="minorHAnsi"/>
                <w:b/>
                <w:sz w:val="22"/>
                <w:szCs w:val="22"/>
                <w:lang w:eastAsia="zh-CN"/>
              </w:rPr>
              <w:t xml:space="preserve">Произведена топлотна </w:t>
            </w:r>
            <w:r w:rsidR="00F165E9" w:rsidRPr="00A5597F">
              <w:rPr>
                <w:rFonts w:cstheme="minorHAnsi"/>
                <w:b/>
                <w:sz w:val="22"/>
                <w:szCs w:val="22"/>
                <w:lang w:eastAsia="zh-CN"/>
              </w:rPr>
              <w:t>енергија</w:t>
            </w:r>
          </w:p>
          <w:p w:rsidR="00772822" w:rsidRPr="00A5597F" w:rsidRDefault="00772822" w:rsidP="00C24362">
            <w:pPr>
              <w:jc w:val="center"/>
              <w:rPr>
                <w:rFonts w:cstheme="minorHAnsi"/>
                <w:b/>
                <w:sz w:val="22"/>
                <w:szCs w:val="22"/>
                <w:lang w:eastAsia="zh-CN"/>
              </w:rPr>
            </w:pPr>
            <w:r w:rsidRPr="00A5597F">
              <w:rPr>
                <w:rFonts w:cstheme="minorHAnsi"/>
                <w:b/>
                <w:sz w:val="22"/>
                <w:szCs w:val="22"/>
                <w:lang w:eastAsia="zh-CN"/>
              </w:rPr>
              <w:t>(GWh)</w:t>
            </w:r>
          </w:p>
        </w:tc>
      </w:tr>
      <w:tr w:rsidR="008167AA" w:rsidRPr="00D52A15" w:rsidTr="008167AA">
        <w:tc>
          <w:tcPr>
            <w:tcW w:w="1667" w:type="pct"/>
            <w:tcBorders>
              <w:top w:val="single" w:sz="12" w:space="0" w:color="auto"/>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Београд</w:t>
            </w:r>
          </w:p>
        </w:tc>
        <w:tc>
          <w:tcPr>
            <w:tcW w:w="1667" w:type="pct"/>
            <w:tcBorders>
              <w:top w:val="single" w:sz="12" w:space="0" w:color="auto"/>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187</w:t>
            </w:r>
          </w:p>
        </w:tc>
        <w:tc>
          <w:tcPr>
            <w:tcW w:w="1666" w:type="pct"/>
            <w:tcBorders>
              <w:top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486</w:t>
            </w:r>
          </w:p>
        </w:tc>
      </w:tr>
      <w:tr w:rsidR="008167AA" w:rsidRPr="00D52A15" w:rsidTr="008167AA">
        <w:tc>
          <w:tcPr>
            <w:tcW w:w="1667" w:type="pct"/>
            <w:tcBorders>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Нови Сад</w:t>
            </w:r>
          </w:p>
        </w:tc>
        <w:tc>
          <w:tcPr>
            <w:tcW w:w="1667" w:type="pct"/>
            <w:tcBorders>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40</w:t>
            </w:r>
          </w:p>
        </w:tc>
        <w:tc>
          <w:tcPr>
            <w:tcW w:w="1666" w:type="pct"/>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101</w:t>
            </w:r>
          </w:p>
        </w:tc>
      </w:tr>
      <w:tr w:rsidR="008167AA" w:rsidRPr="00D52A15" w:rsidTr="008167AA">
        <w:tc>
          <w:tcPr>
            <w:tcW w:w="1667" w:type="pct"/>
            <w:tcBorders>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Крагујевац</w:t>
            </w:r>
          </w:p>
        </w:tc>
        <w:tc>
          <w:tcPr>
            <w:tcW w:w="1667" w:type="pct"/>
            <w:tcBorders>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20</w:t>
            </w:r>
          </w:p>
        </w:tc>
        <w:tc>
          <w:tcPr>
            <w:tcW w:w="1666" w:type="pct"/>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49</w:t>
            </w:r>
          </w:p>
        </w:tc>
      </w:tr>
      <w:tr w:rsidR="008167AA" w:rsidRPr="00D52A15" w:rsidTr="008167AA">
        <w:tc>
          <w:tcPr>
            <w:tcW w:w="1667" w:type="pct"/>
            <w:tcBorders>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Ниш</w:t>
            </w:r>
          </w:p>
        </w:tc>
        <w:tc>
          <w:tcPr>
            <w:tcW w:w="1667" w:type="pct"/>
            <w:tcBorders>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20</w:t>
            </w:r>
          </w:p>
        </w:tc>
        <w:tc>
          <w:tcPr>
            <w:tcW w:w="1666" w:type="pct"/>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50</w:t>
            </w:r>
          </w:p>
        </w:tc>
      </w:tr>
      <w:tr w:rsidR="008167AA" w:rsidRPr="00D52A15" w:rsidTr="008167AA">
        <w:tc>
          <w:tcPr>
            <w:tcW w:w="1667" w:type="pct"/>
            <w:tcBorders>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Суботица</w:t>
            </w:r>
          </w:p>
        </w:tc>
        <w:tc>
          <w:tcPr>
            <w:tcW w:w="1667" w:type="pct"/>
            <w:tcBorders>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15</w:t>
            </w:r>
          </w:p>
        </w:tc>
        <w:tc>
          <w:tcPr>
            <w:tcW w:w="1666" w:type="pct"/>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39</w:t>
            </w:r>
          </w:p>
        </w:tc>
      </w:tr>
      <w:tr w:rsidR="008167AA" w:rsidRPr="00D52A15" w:rsidTr="008167AA">
        <w:tc>
          <w:tcPr>
            <w:tcW w:w="1667" w:type="pct"/>
            <w:tcBorders>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Панчево</w:t>
            </w:r>
          </w:p>
        </w:tc>
        <w:tc>
          <w:tcPr>
            <w:tcW w:w="1667" w:type="pct"/>
            <w:tcBorders>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10</w:t>
            </w:r>
          </w:p>
        </w:tc>
        <w:tc>
          <w:tcPr>
            <w:tcW w:w="1666" w:type="pct"/>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25</w:t>
            </w:r>
          </w:p>
        </w:tc>
      </w:tr>
      <w:tr w:rsidR="008167AA" w:rsidRPr="00D52A15" w:rsidTr="008167AA">
        <w:tc>
          <w:tcPr>
            <w:tcW w:w="1667" w:type="pct"/>
            <w:tcBorders>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Зрењанин</w:t>
            </w:r>
          </w:p>
        </w:tc>
        <w:tc>
          <w:tcPr>
            <w:tcW w:w="1667" w:type="pct"/>
            <w:tcBorders>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9</w:t>
            </w:r>
          </w:p>
        </w:tc>
        <w:tc>
          <w:tcPr>
            <w:tcW w:w="1666" w:type="pct"/>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22</w:t>
            </w:r>
          </w:p>
        </w:tc>
      </w:tr>
      <w:tr w:rsidR="008167AA" w:rsidRPr="00D52A15" w:rsidTr="008167AA">
        <w:tc>
          <w:tcPr>
            <w:tcW w:w="1667" w:type="pct"/>
            <w:tcBorders>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Чачак</w:t>
            </w:r>
          </w:p>
        </w:tc>
        <w:tc>
          <w:tcPr>
            <w:tcW w:w="1667" w:type="pct"/>
            <w:tcBorders>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9</w:t>
            </w:r>
          </w:p>
        </w:tc>
        <w:tc>
          <w:tcPr>
            <w:tcW w:w="1666" w:type="pct"/>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22</w:t>
            </w:r>
          </w:p>
        </w:tc>
      </w:tr>
      <w:tr w:rsidR="008167AA" w:rsidRPr="00D52A15" w:rsidTr="008167AA">
        <w:tc>
          <w:tcPr>
            <w:tcW w:w="1667" w:type="pct"/>
            <w:tcBorders>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Краљево</w:t>
            </w:r>
          </w:p>
        </w:tc>
        <w:tc>
          <w:tcPr>
            <w:tcW w:w="1667" w:type="pct"/>
            <w:tcBorders>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7</w:t>
            </w:r>
          </w:p>
        </w:tc>
        <w:tc>
          <w:tcPr>
            <w:tcW w:w="1666" w:type="pct"/>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17</w:t>
            </w:r>
          </w:p>
        </w:tc>
      </w:tr>
      <w:tr w:rsidR="008167AA" w:rsidRPr="00D52A15" w:rsidTr="008167AA">
        <w:tc>
          <w:tcPr>
            <w:tcW w:w="1667" w:type="pct"/>
            <w:tcBorders>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Крушевац</w:t>
            </w:r>
          </w:p>
        </w:tc>
        <w:tc>
          <w:tcPr>
            <w:tcW w:w="1667" w:type="pct"/>
            <w:tcBorders>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6</w:t>
            </w:r>
          </w:p>
        </w:tc>
        <w:tc>
          <w:tcPr>
            <w:tcW w:w="1666" w:type="pct"/>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16</w:t>
            </w:r>
          </w:p>
        </w:tc>
      </w:tr>
      <w:tr w:rsidR="008167AA" w:rsidRPr="00D52A15" w:rsidTr="008167AA">
        <w:tc>
          <w:tcPr>
            <w:tcW w:w="1667" w:type="pct"/>
            <w:tcBorders>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Шабац</w:t>
            </w:r>
          </w:p>
        </w:tc>
        <w:tc>
          <w:tcPr>
            <w:tcW w:w="1667" w:type="pct"/>
            <w:tcBorders>
              <w:left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6</w:t>
            </w:r>
          </w:p>
        </w:tc>
        <w:tc>
          <w:tcPr>
            <w:tcW w:w="1666" w:type="pct"/>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15</w:t>
            </w:r>
          </w:p>
        </w:tc>
      </w:tr>
      <w:tr w:rsidR="008167AA" w:rsidRPr="00D52A15" w:rsidTr="008167AA">
        <w:tc>
          <w:tcPr>
            <w:tcW w:w="1667" w:type="pct"/>
            <w:tcBorders>
              <w:bottom w:val="single" w:sz="12" w:space="0" w:color="auto"/>
              <w:right w:val="single" w:sz="12" w:space="0" w:color="auto"/>
            </w:tcBorders>
            <w:shd w:val="clear" w:color="auto" w:fill="F2F2F2" w:themeFill="background1" w:themeFillShade="F2"/>
          </w:tcPr>
          <w:p w:rsidR="008167AA" w:rsidRPr="00A5597F" w:rsidRDefault="008167AA" w:rsidP="00C24362">
            <w:pPr>
              <w:jc w:val="both"/>
              <w:rPr>
                <w:rFonts w:cstheme="minorHAnsi"/>
                <w:sz w:val="22"/>
                <w:szCs w:val="22"/>
                <w:lang w:eastAsia="zh-CN"/>
              </w:rPr>
            </w:pPr>
            <w:r w:rsidRPr="00A5597F">
              <w:rPr>
                <w:sz w:val="22"/>
                <w:szCs w:val="22"/>
                <w:lang/>
              </w:rPr>
              <w:t>Бор</w:t>
            </w:r>
          </w:p>
        </w:tc>
        <w:tc>
          <w:tcPr>
            <w:tcW w:w="1667" w:type="pct"/>
            <w:tcBorders>
              <w:left w:val="single" w:sz="12" w:space="0" w:color="auto"/>
              <w:bottom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4</w:t>
            </w:r>
          </w:p>
        </w:tc>
        <w:tc>
          <w:tcPr>
            <w:tcW w:w="1666" w:type="pct"/>
            <w:tcBorders>
              <w:bottom w:val="single" w:sz="12" w:space="0" w:color="auto"/>
            </w:tcBorders>
          </w:tcPr>
          <w:p w:rsidR="008167AA" w:rsidRPr="00A5597F" w:rsidRDefault="008167AA" w:rsidP="00C24362">
            <w:pPr>
              <w:jc w:val="center"/>
              <w:rPr>
                <w:rFonts w:cstheme="minorHAnsi"/>
                <w:sz w:val="22"/>
                <w:szCs w:val="22"/>
                <w:lang w:eastAsia="zh-CN"/>
              </w:rPr>
            </w:pPr>
            <w:r w:rsidRPr="00A5597F">
              <w:rPr>
                <w:rFonts w:cstheme="minorHAnsi"/>
                <w:sz w:val="22"/>
                <w:szCs w:val="22"/>
                <w:lang w:eastAsia="zh-CN"/>
              </w:rPr>
              <w:t>9</w:t>
            </w:r>
          </w:p>
        </w:tc>
      </w:tr>
    </w:tbl>
    <w:p w:rsidR="00437124" w:rsidRPr="00D52A15" w:rsidRDefault="00437124" w:rsidP="00C24362">
      <w:pPr>
        <w:rPr>
          <w:rFonts w:eastAsia="Calibri" w:cstheme="minorHAnsi"/>
          <w:lang w:eastAsia="en-GB"/>
        </w:rPr>
      </w:pPr>
    </w:p>
    <w:p w:rsidR="00772822" w:rsidRPr="00D52A15" w:rsidRDefault="00A5597F" w:rsidP="00A5597F">
      <w:pPr>
        <w:pStyle w:val="Heading3"/>
        <w:numPr>
          <w:ilvl w:val="0"/>
          <w:numId w:val="0"/>
        </w:numPr>
        <w:spacing w:before="0" w:line="240" w:lineRule="auto"/>
        <w:rPr>
          <w:rFonts w:ascii="Times New Roman" w:hAnsi="Times New Roman" w:cs="Times New Roman"/>
          <w:b w:val="0"/>
          <w:bCs w:val="0"/>
          <w:color w:val="000000" w:themeColor="text1"/>
          <w:sz w:val="24"/>
          <w:szCs w:val="24"/>
          <w:lang/>
        </w:rPr>
      </w:pPr>
      <w:r>
        <w:rPr>
          <w:rFonts w:ascii="Times New Roman" w:hAnsi="Times New Roman" w:cs="Times New Roman"/>
          <w:b w:val="0"/>
          <w:bCs w:val="0"/>
          <w:color w:val="000000" w:themeColor="text1"/>
          <w:sz w:val="24"/>
          <w:szCs w:val="24"/>
          <w:lang w:val="en-US"/>
        </w:rPr>
        <w:t>3.6</w:t>
      </w:r>
      <w:r w:rsidR="008167AA" w:rsidRPr="00D52A15">
        <w:rPr>
          <w:rFonts w:ascii="Times New Roman" w:hAnsi="Times New Roman" w:cs="Times New Roman"/>
          <w:b w:val="0"/>
          <w:bCs w:val="0"/>
          <w:color w:val="000000" w:themeColor="text1"/>
          <w:sz w:val="24"/>
          <w:szCs w:val="24"/>
          <w:lang/>
        </w:rPr>
        <w:t>Потенцијал соларне енергије</w:t>
      </w:r>
    </w:p>
    <w:p w:rsidR="008167AA" w:rsidRPr="00D52A15" w:rsidRDefault="008167AA" w:rsidP="00C24362">
      <w:pPr>
        <w:rPr>
          <w:lang/>
        </w:rPr>
      </w:pPr>
    </w:p>
    <w:p w:rsidR="00A47226" w:rsidRPr="00D52A15" w:rsidRDefault="001850A4" w:rsidP="00C24362">
      <w:pPr>
        <w:rPr>
          <w:lang/>
        </w:rPr>
      </w:pPr>
      <w:r w:rsidRPr="00D52A15">
        <w:rPr>
          <w:lang/>
        </w:rPr>
        <w:t xml:space="preserve">У основи коришћења соларне енергије за производњу топлотне енергије је </w:t>
      </w:r>
      <w:r w:rsidR="00A47226" w:rsidRPr="00D52A15">
        <w:rPr>
          <w:lang/>
        </w:rPr>
        <w:t>трансформација</w:t>
      </w:r>
      <w:r w:rsidRPr="00D52A15">
        <w:rPr>
          <w:lang/>
        </w:rPr>
        <w:t>енергије зрачења у унутрашњу енергију радног медијума који се користи у соларним колекторима. За овакав начин производње топлотне енергије потребне су велике површине, велики број сати трајања инсолације и велики топлотни проток</w:t>
      </w:r>
      <w:r w:rsidR="008167AA" w:rsidRPr="00D52A15">
        <w:rPr>
          <w:lang/>
        </w:rPr>
        <w:t xml:space="preserve"> соларне енергије.</w:t>
      </w:r>
      <w:r w:rsidR="00A47226" w:rsidRPr="00D52A15">
        <w:rPr>
          <w:lang/>
        </w:rPr>
        <w:t xml:space="preserve"> Коришћење соларне енергије је могуће у свим СДГ, а </w:t>
      </w:r>
      <w:r w:rsidR="008167AA" w:rsidRPr="00D52A15">
        <w:rPr>
          <w:lang/>
        </w:rPr>
        <w:t xml:space="preserve">количина </w:t>
      </w:r>
      <w:r w:rsidR="00A47226" w:rsidRPr="00D52A15">
        <w:rPr>
          <w:lang/>
        </w:rPr>
        <w:t>произв</w:t>
      </w:r>
      <w:r w:rsidR="008167AA" w:rsidRPr="00D52A15">
        <w:rPr>
          <w:lang/>
        </w:rPr>
        <w:t>едене</w:t>
      </w:r>
      <w:r w:rsidR="00A47226" w:rsidRPr="00D52A15">
        <w:rPr>
          <w:lang/>
        </w:rPr>
        <w:t xml:space="preserve"> топлотне енергије зависи од величине расположивих локација за постављање соларних колектора и изградњу сезонског складишта топлоте.</w:t>
      </w:r>
    </w:p>
    <w:p w:rsidR="00267566" w:rsidRDefault="00A47226" w:rsidP="00C24362">
      <w:pPr>
        <w:rPr>
          <w:lang/>
        </w:rPr>
      </w:pPr>
      <w:r w:rsidRPr="00D52A15">
        <w:rPr>
          <w:lang/>
        </w:rPr>
        <w:t xml:space="preserve">У анализираном периоду до 2030. године као реално остварив </w:t>
      </w:r>
      <w:r w:rsidR="00437124" w:rsidRPr="00D52A15">
        <w:rPr>
          <w:lang/>
        </w:rPr>
        <w:t xml:space="preserve">пројекат </w:t>
      </w:r>
      <w:r w:rsidRPr="00D52A15">
        <w:rPr>
          <w:lang/>
        </w:rPr>
        <w:t>идентифико</w:t>
      </w:r>
      <w:r w:rsidR="008167AA" w:rsidRPr="00D52A15">
        <w:rPr>
          <w:lang/>
        </w:rPr>
        <w:t>ва</w:t>
      </w:r>
      <w:r w:rsidRPr="00D52A15">
        <w:rPr>
          <w:lang/>
        </w:rPr>
        <w:t>н</w:t>
      </w:r>
      <w:r w:rsidR="00437124" w:rsidRPr="00D52A15">
        <w:rPr>
          <w:lang/>
        </w:rPr>
        <w:t xml:space="preserve"> је пројекат изградње солар термал </w:t>
      </w:r>
      <w:r w:rsidRPr="00D52A15">
        <w:rPr>
          <w:lang/>
        </w:rPr>
        <w:t>постројењ</w:t>
      </w:r>
      <w:r w:rsidR="00437124" w:rsidRPr="00D52A15">
        <w:rPr>
          <w:lang/>
        </w:rPr>
        <w:t>а</w:t>
      </w:r>
      <w:r w:rsidRPr="00D52A15">
        <w:rPr>
          <w:lang/>
        </w:rPr>
        <w:t xml:space="preserve"> у Новом Саду</w:t>
      </w:r>
      <w:r w:rsidR="0080020A" w:rsidRPr="00D52A15">
        <w:rPr>
          <w:lang/>
        </w:rPr>
        <w:t xml:space="preserve">, а као перспективне наведене су и  локације у </w:t>
      </w:r>
      <w:r w:rsidR="00F165E9">
        <w:rPr>
          <w:lang/>
        </w:rPr>
        <w:t>И</w:t>
      </w:r>
      <w:r w:rsidR="0080020A" w:rsidRPr="00D52A15">
        <w:rPr>
          <w:lang/>
        </w:rPr>
        <w:t>сточној Србији. Очекивана производња топлотне енергије из постројења у Новом Саду је 120 GWh годишње, док би уз коришћење топлотних пумпи производња достигла 200 GWh годишње.</w:t>
      </w:r>
    </w:p>
    <w:p w:rsidR="00A5597F" w:rsidRPr="00D52A15" w:rsidRDefault="00A5597F" w:rsidP="00C24362">
      <w:pPr>
        <w:rPr>
          <w:lang/>
        </w:rPr>
      </w:pPr>
    </w:p>
    <w:p w:rsidR="0080020A" w:rsidRPr="00D52A15" w:rsidRDefault="00A5597F" w:rsidP="00A5597F">
      <w:pPr>
        <w:pStyle w:val="Heading3"/>
        <w:numPr>
          <w:ilvl w:val="0"/>
          <w:numId w:val="0"/>
        </w:numPr>
        <w:spacing w:before="0" w:line="240" w:lineRule="auto"/>
        <w:rPr>
          <w:rFonts w:ascii="Times New Roman" w:hAnsi="Times New Roman" w:cs="Times New Roman"/>
          <w:b w:val="0"/>
          <w:bCs w:val="0"/>
          <w:color w:val="000000" w:themeColor="text1"/>
          <w:sz w:val="24"/>
          <w:szCs w:val="24"/>
          <w:lang/>
        </w:rPr>
      </w:pPr>
      <w:r>
        <w:rPr>
          <w:rFonts w:ascii="Times New Roman" w:hAnsi="Times New Roman" w:cs="Times New Roman"/>
          <w:b w:val="0"/>
          <w:bCs w:val="0"/>
          <w:color w:val="000000" w:themeColor="text1"/>
          <w:sz w:val="24"/>
          <w:szCs w:val="24"/>
          <w:lang w:val="en-US"/>
        </w:rPr>
        <w:t xml:space="preserve">3.7 </w:t>
      </w:r>
      <w:r w:rsidR="0080020A" w:rsidRPr="00D52A15">
        <w:rPr>
          <w:rFonts w:ascii="Times New Roman" w:hAnsi="Times New Roman" w:cs="Times New Roman"/>
          <w:b w:val="0"/>
          <w:bCs w:val="0"/>
          <w:color w:val="000000" w:themeColor="text1"/>
          <w:sz w:val="24"/>
          <w:szCs w:val="24"/>
          <w:lang/>
        </w:rPr>
        <w:t>Отпадна топлота из индустријских постројења и процес</w:t>
      </w:r>
      <w:r w:rsidR="00B95CB3" w:rsidRPr="00D52A15">
        <w:rPr>
          <w:rFonts w:ascii="Times New Roman" w:hAnsi="Times New Roman" w:cs="Times New Roman"/>
          <w:b w:val="0"/>
          <w:bCs w:val="0"/>
          <w:color w:val="000000" w:themeColor="text1"/>
          <w:sz w:val="24"/>
          <w:szCs w:val="24"/>
          <w:lang/>
        </w:rPr>
        <w:t xml:space="preserve">а </w:t>
      </w:r>
    </w:p>
    <w:p w:rsidR="00437124" w:rsidRPr="00D52A15" w:rsidRDefault="00437124" w:rsidP="00C24362">
      <w:pPr>
        <w:rPr>
          <w:lang/>
        </w:rPr>
      </w:pPr>
    </w:p>
    <w:p w:rsidR="00437124" w:rsidRPr="00D52A15" w:rsidRDefault="00A47226" w:rsidP="00C24362">
      <w:pPr>
        <w:rPr>
          <w:lang/>
        </w:rPr>
      </w:pPr>
      <w:r w:rsidRPr="00D52A15">
        <w:rPr>
          <w:lang/>
        </w:rPr>
        <w:t xml:space="preserve">Финална потрошња енергије у индустријском сектору чини скоро 25% финалне потрошње енергије у Републици Србији. Процењује се да је 50-70% потрошње енергије у индустрији </w:t>
      </w:r>
      <w:r w:rsidRPr="00D52A15">
        <w:rPr>
          <w:lang/>
        </w:rPr>
        <w:lastRenderedPageBreak/>
        <w:t>намењено производњи топлотне енергије у различитим индустријским процесима. Производња је праћена великим губитком енергије у виду отпадне топлоте: кроз зидове процесне опреме, као енергија димних гасова или отпадних вода</w:t>
      </w:r>
      <w:r w:rsidR="00F165E9">
        <w:rPr>
          <w:lang/>
        </w:rPr>
        <w:t>,</w:t>
      </w:r>
      <w:r w:rsidRPr="00D52A15">
        <w:rPr>
          <w:lang/>
        </w:rPr>
        <w:t xml:space="preserve"> итд.</w:t>
      </w:r>
    </w:p>
    <w:p w:rsidR="00B95CB3" w:rsidRPr="00D52A15" w:rsidRDefault="00A47226" w:rsidP="00C24362">
      <w:pPr>
        <w:rPr>
          <w:lang/>
        </w:rPr>
      </w:pPr>
      <w:r w:rsidRPr="00D52A15">
        <w:rPr>
          <w:lang/>
        </w:rPr>
        <w:t>Коришћење отпадне топлоте за задовољење топлотних потреба, унутар или ван индустријских објекта, иако могуће и пожељно, није једноставно. Расположиве температуре отпадне топлоте су различите, као и сами носиоци отпадн</w:t>
      </w:r>
      <w:r w:rsidR="00437124" w:rsidRPr="00D52A15">
        <w:rPr>
          <w:lang/>
        </w:rPr>
        <w:t>е</w:t>
      </w:r>
      <w:r w:rsidRPr="00D52A15">
        <w:rPr>
          <w:lang/>
        </w:rPr>
        <w:t xml:space="preserve"> топлоте. Доступност отпадне топлоте у великој мери зависи од типа индустријског процеса, док потенцијални потрошачи често могу бити удаљени од локације индустријског објекта. У таквим случајевима топлоту је потребно пренети до потенцијалног потрошача. </w:t>
      </w:r>
      <w:r w:rsidR="00B95CB3" w:rsidRPr="00D52A15">
        <w:rPr>
          <w:lang/>
        </w:rPr>
        <w:t xml:space="preserve">У </w:t>
      </w:r>
      <w:r w:rsidR="00A5597F">
        <w:rPr>
          <w:lang w:val="en-US"/>
        </w:rPr>
        <w:t>T</w:t>
      </w:r>
      <w:r w:rsidR="00B95CB3" w:rsidRPr="00D52A15">
        <w:rPr>
          <w:lang/>
        </w:rPr>
        <w:t xml:space="preserve">абели </w:t>
      </w:r>
      <w:r w:rsidR="00A5597F">
        <w:rPr>
          <w:lang w:val="en-US"/>
        </w:rPr>
        <w:t>5</w:t>
      </w:r>
      <w:r w:rsidR="00B95CB3" w:rsidRPr="00D52A15">
        <w:rPr>
          <w:lang/>
        </w:rPr>
        <w:t xml:space="preserve"> приказане</w:t>
      </w:r>
      <w:r w:rsidR="00437124" w:rsidRPr="00D52A15">
        <w:rPr>
          <w:lang/>
        </w:rPr>
        <w:t xml:space="preserve"> су</w:t>
      </w:r>
      <w:r w:rsidR="00B95CB3" w:rsidRPr="00D52A15">
        <w:rPr>
          <w:lang/>
        </w:rPr>
        <w:t xml:space="preserve"> процењене количине отпадне топлоте које би могле бити искоришћен</w:t>
      </w:r>
      <w:r w:rsidR="00437124" w:rsidRPr="00D52A15">
        <w:rPr>
          <w:lang/>
        </w:rPr>
        <w:t>е</w:t>
      </w:r>
      <w:r w:rsidR="00B95CB3" w:rsidRPr="00D52A15">
        <w:rPr>
          <w:lang/>
        </w:rPr>
        <w:t xml:space="preserve"> у СДГ, директно, или коришћењем топлотних пумпи.</w:t>
      </w:r>
    </w:p>
    <w:p w:rsidR="00B95CB3" w:rsidRPr="00D52A15" w:rsidRDefault="00B95CB3" w:rsidP="00C24362">
      <w:pPr>
        <w:rPr>
          <w:rFonts w:ascii="Calibri" w:eastAsia="Calibri" w:hAnsi="Calibri"/>
          <w:lang/>
        </w:rPr>
      </w:pPr>
    </w:p>
    <w:p w:rsidR="00772822" w:rsidRPr="005F1AFE" w:rsidRDefault="008167AA" w:rsidP="00C24362">
      <w:pPr>
        <w:pStyle w:val="NormalWeb"/>
        <w:spacing w:before="0" w:beforeAutospacing="0" w:after="0" w:afterAutospacing="0"/>
        <w:jc w:val="both"/>
        <w:rPr>
          <w:i/>
          <w:iCs/>
          <w:color w:val="000000"/>
          <w:lang/>
        </w:rPr>
      </w:pPr>
      <w:bookmarkStart w:id="6" w:name="_Toc129629245"/>
      <w:bookmarkStart w:id="7" w:name="_Toc130481928"/>
      <w:r w:rsidRPr="005F1AFE">
        <w:rPr>
          <w:i/>
          <w:iCs/>
          <w:color w:val="000000"/>
          <w:lang/>
        </w:rPr>
        <w:t xml:space="preserve">Табела </w:t>
      </w:r>
      <w:r w:rsidR="00A5597F" w:rsidRPr="005F1AFE">
        <w:rPr>
          <w:i/>
          <w:iCs/>
          <w:color w:val="000000"/>
        </w:rPr>
        <w:t>5</w:t>
      </w:r>
      <w:r w:rsidRPr="005F1AFE">
        <w:rPr>
          <w:i/>
          <w:iCs/>
          <w:color w:val="000000"/>
          <w:lang/>
        </w:rPr>
        <w:t>. Технички потенцијал отпадне топлоте из индустријских постројења и процеса које се може користити у СДГ директно или применом топлотних пумпи</w:t>
      </w:r>
      <w:r w:rsidR="002049FE">
        <w:rPr>
          <w:i/>
          <w:iCs/>
          <w:color w:val="000000"/>
        </w:rPr>
        <w:t xml:space="preserve"> (MWh)</w:t>
      </w:r>
      <w:bookmarkEnd w:id="6"/>
      <w:bookmarkEnd w:id="7"/>
      <w:r w:rsidR="005F1AFE" w:rsidRPr="0020381D">
        <w:rPr>
          <w:i/>
          <w:iCs/>
        </w:rPr>
        <w:t>[1</w:t>
      </w:r>
      <w:r w:rsidR="0053416E">
        <w:rPr>
          <w:i/>
          <w:iCs/>
        </w:rPr>
        <w:t>0</w:t>
      </w:r>
      <w:r w:rsidR="005F1AFE" w:rsidRPr="0020381D">
        <w:rPr>
          <w:i/>
          <w:iCs/>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320"/>
        <w:gridCol w:w="2633"/>
        <w:gridCol w:w="2635"/>
        <w:gridCol w:w="2267"/>
      </w:tblGrid>
      <w:tr w:rsidR="00267566" w:rsidRPr="00D52A15" w:rsidTr="00AD717E">
        <w:trPr>
          <w:trHeight w:val="1055"/>
          <w:tblHeader/>
        </w:trPr>
        <w:tc>
          <w:tcPr>
            <w:tcW w:w="1177" w:type="pct"/>
            <w:tcBorders>
              <w:top w:val="single" w:sz="12" w:space="0" w:color="auto"/>
              <w:bottom w:val="single" w:sz="4" w:space="0" w:color="auto"/>
            </w:tcBorders>
            <w:shd w:val="clear" w:color="auto" w:fill="F2F2F2" w:themeFill="background1" w:themeFillShade="F2"/>
            <w:noWrap/>
            <w:vAlign w:val="center"/>
          </w:tcPr>
          <w:p w:rsidR="00267566" w:rsidRPr="009C0082" w:rsidRDefault="00267566" w:rsidP="00C24362">
            <w:pPr>
              <w:jc w:val="center"/>
              <w:rPr>
                <w:lang/>
              </w:rPr>
            </w:pPr>
            <w:r w:rsidRPr="009C0082">
              <w:rPr>
                <w:b/>
                <w:bCs/>
                <w:color w:val="000000"/>
                <w:sz w:val="22"/>
                <w:szCs w:val="22"/>
                <w:lang/>
              </w:rPr>
              <w:t>Индустријски подсектор</w:t>
            </w:r>
          </w:p>
        </w:tc>
        <w:tc>
          <w:tcPr>
            <w:tcW w:w="1336" w:type="pct"/>
            <w:tcBorders>
              <w:top w:val="single" w:sz="12" w:space="0" w:color="auto"/>
            </w:tcBorders>
            <w:shd w:val="clear" w:color="auto" w:fill="F2F2F2" w:themeFill="background1" w:themeFillShade="F2"/>
            <w:noWrap/>
            <w:vAlign w:val="center"/>
          </w:tcPr>
          <w:p w:rsidR="00267566" w:rsidRPr="009C0082" w:rsidRDefault="00267566" w:rsidP="00C24362">
            <w:pPr>
              <w:jc w:val="center"/>
              <w:rPr>
                <w:b/>
                <w:color w:val="000000"/>
                <w:lang/>
              </w:rPr>
            </w:pPr>
            <w:r w:rsidRPr="009C0082">
              <w:rPr>
                <w:b/>
                <w:sz w:val="22"/>
                <w:szCs w:val="22"/>
                <w:lang/>
              </w:rPr>
              <w:t>Високоте</w:t>
            </w:r>
            <w:r w:rsidR="00F165E9">
              <w:rPr>
                <w:b/>
                <w:sz w:val="22"/>
                <w:szCs w:val="22"/>
                <w:lang/>
              </w:rPr>
              <w:t>м</w:t>
            </w:r>
            <w:r w:rsidRPr="009C0082">
              <w:rPr>
                <w:b/>
                <w:sz w:val="22"/>
                <w:szCs w:val="22"/>
                <w:lang/>
              </w:rPr>
              <w:t>пературна отпадна топлота која се може регенерисати</w:t>
            </w:r>
          </w:p>
        </w:tc>
        <w:tc>
          <w:tcPr>
            <w:tcW w:w="1337" w:type="pct"/>
            <w:tcBorders>
              <w:top w:val="single" w:sz="12" w:space="0" w:color="auto"/>
            </w:tcBorders>
            <w:shd w:val="clear" w:color="auto" w:fill="F2F2F2" w:themeFill="background1" w:themeFillShade="F2"/>
            <w:noWrap/>
            <w:vAlign w:val="center"/>
          </w:tcPr>
          <w:p w:rsidR="00267566" w:rsidRPr="009C0082" w:rsidRDefault="00267566" w:rsidP="00C24362">
            <w:pPr>
              <w:jc w:val="center"/>
              <w:rPr>
                <w:b/>
                <w:color w:val="000000"/>
                <w:lang/>
              </w:rPr>
            </w:pPr>
            <w:r w:rsidRPr="009C0082">
              <w:rPr>
                <w:b/>
                <w:sz w:val="22"/>
                <w:szCs w:val="22"/>
                <w:lang/>
              </w:rPr>
              <w:t>Нискотемпературна отпадна топлота која се може регенерисати коришћењем топлотних пумпи</w:t>
            </w:r>
          </w:p>
        </w:tc>
        <w:tc>
          <w:tcPr>
            <w:tcW w:w="1150" w:type="pct"/>
            <w:tcBorders>
              <w:top w:val="single" w:sz="12" w:space="0" w:color="auto"/>
            </w:tcBorders>
            <w:shd w:val="clear" w:color="auto" w:fill="F2F2F2" w:themeFill="background1" w:themeFillShade="F2"/>
            <w:noWrap/>
            <w:vAlign w:val="center"/>
          </w:tcPr>
          <w:p w:rsidR="00267566" w:rsidRPr="009C0082" w:rsidRDefault="00267566" w:rsidP="00C24362">
            <w:pPr>
              <w:jc w:val="center"/>
              <w:rPr>
                <w:b/>
                <w:color w:val="000000"/>
                <w:lang/>
              </w:rPr>
            </w:pPr>
            <w:r w:rsidRPr="009C0082">
              <w:rPr>
                <w:b/>
                <w:color w:val="000000"/>
                <w:sz w:val="22"/>
                <w:szCs w:val="22"/>
                <w:lang/>
              </w:rPr>
              <w:t>Укупна топлота за СДГ</w:t>
            </w:r>
            <w:r w:rsidRPr="009C0082">
              <w:rPr>
                <w:b/>
                <w:sz w:val="22"/>
                <w:szCs w:val="22"/>
                <w:lang/>
              </w:rPr>
              <w:t>*</w:t>
            </w:r>
          </w:p>
        </w:tc>
      </w:tr>
      <w:tr w:rsidR="00772822" w:rsidRPr="00D52A15" w:rsidTr="00772822">
        <w:trPr>
          <w:trHeight w:val="300"/>
        </w:trPr>
        <w:tc>
          <w:tcPr>
            <w:tcW w:w="1177" w:type="pct"/>
            <w:tcBorders>
              <w:top w:val="single" w:sz="12" w:space="0" w:color="auto"/>
            </w:tcBorders>
            <w:shd w:val="clear" w:color="auto" w:fill="auto"/>
            <w:noWrap/>
            <w:vAlign w:val="center"/>
            <w:hideMark/>
          </w:tcPr>
          <w:p w:rsidR="00772822" w:rsidRPr="009C0082" w:rsidRDefault="008167AA" w:rsidP="009C0082">
            <w:pPr>
              <w:jc w:val="left"/>
              <w:rPr>
                <w:color w:val="000000"/>
                <w:lang/>
              </w:rPr>
            </w:pPr>
            <w:r w:rsidRPr="009C0082">
              <w:rPr>
                <w:color w:val="000000"/>
                <w:sz w:val="22"/>
                <w:szCs w:val="22"/>
                <w:lang/>
              </w:rPr>
              <w:t>Гвожђе и челик</w:t>
            </w:r>
          </w:p>
        </w:tc>
        <w:tc>
          <w:tcPr>
            <w:tcW w:w="1336" w:type="pct"/>
            <w:tcBorders>
              <w:top w:val="single" w:sz="12" w:space="0" w:color="auto"/>
            </w:tcBorders>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24</w:t>
            </w:r>
            <w:r w:rsidR="00925B68">
              <w:rPr>
                <w:color w:val="000000"/>
                <w:sz w:val="22"/>
                <w:szCs w:val="22"/>
                <w:lang/>
              </w:rPr>
              <w:t>.</w:t>
            </w:r>
            <w:r w:rsidRPr="009C0082">
              <w:rPr>
                <w:color w:val="000000"/>
                <w:sz w:val="22"/>
                <w:szCs w:val="22"/>
                <w:lang/>
              </w:rPr>
              <w:t>408</w:t>
            </w:r>
          </w:p>
        </w:tc>
        <w:tc>
          <w:tcPr>
            <w:tcW w:w="1337" w:type="pct"/>
            <w:tcBorders>
              <w:top w:val="single" w:sz="12" w:space="0" w:color="auto"/>
            </w:tcBorders>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19</w:t>
            </w:r>
            <w:r w:rsidR="00925B68">
              <w:rPr>
                <w:color w:val="000000"/>
                <w:sz w:val="22"/>
                <w:szCs w:val="22"/>
                <w:lang/>
              </w:rPr>
              <w:t>.</w:t>
            </w:r>
            <w:r w:rsidRPr="009C0082">
              <w:rPr>
                <w:color w:val="000000"/>
                <w:sz w:val="22"/>
                <w:szCs w:val="22"/>
                <w:lang/>
              </w:rPr>
              <w:t>970</w:t>
            </w:r>
          </w:p>
        </w:tc>
        <w:tc>
          <w:tcPr>
            <w:tcW w:w="1150" w:type="pct"/>
            <w:tcBorders>
              <w:top w:val="single" w:sz="12" w:space="0" w:color="auto"/>
            </w:tcBorders>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50</w:t>
            </w:r>
            <w:r w:rsidR="00925B68">
              <w:rPr>
                <w:color w:val="000000"/>
                <w:sz w:val="22"/>
                <w:szCs w:val="22"/>
                <w:lang/>
              </w:rPr>
              <w:t>.</w:t>
            </w:r>
            <w:r w:rsidRPr="009C0082">
              <w:rPr>
                <w:color w:val="000000"/>
                <w:sz w:val="22"/>
                <w:szCs w:val="22"/>
                <w:lang/>
              </w:rPr>
              <w:t>967</w:t>
            </w:r>
          </w:p>
        </w:tc>
      </w:tr>
      <w:tr w:rsidR="00772822" w:rsidRPr="00D52A15" w:rsidTr="00772822">
        <w:trPr>
          <w:trHeight w:val="320"/>
        </w:trPr>
        <w:tc>
          <w:tcPr>
            <w:tcW w:w="1177" w:type="pct"/>
            <w:shd w:val="clear" w:color="auto" w:fill="auto"/>
            <w:noWrap/>
            <w:vAlign w:val="center"/>
            <w:hideMark/>
          </w:tcPr>
          <w:p w:rsidR="00772822" w:rsidRPr="009C0082" w:rsidRDefault="008167AA" w:rsidP="009C0082">
            <w:pPr>
              <w:jc w:val="left"/>
              <w:rPr>
                <w:color w:val="000000"/>
                <w:lang/>
              </w:rPr>
            </w:pPr>
            <w:r w:rsidRPr="009C0082">
              <w:rPr>
                <w:color w:val="000000"/>
                <w:sz w:val="22"/>
                <w:szCs w:val="22"/>
                <w:lang/>
              </w:rPr>
              <w:t>Хемијска и петрохемијска индустрија</w:t>
            </w:r>
          </w:p>
        </w:tc>
        <w:tc>
          <w:tcPr>
            <w:tcW w:w="1336"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62</w:t>
            </w:r>
            <w:r w:rsidR="00925B68">
              <w:rPr>
                <w:color w:val="000000"/>
                <w:sz w:val="22"/>
                <w:szCs w:val="22"/>
                <w:lang/>
              </w:rPr>
              <w:t>.</w:t>
            </w:r>
            <w:r w:rsidRPr="009C0082">
              <w:rPr>
                <w:color w:val="000000"/>
                <w:sz w:val="22"/>
                <w:szCs w:val="22"/>
                <w:lang/>
              </w:rPr>
              <w:t>270</w:t>
            </w:r>
          </w:p>
        </w:tc>
        <w:tc>
          <w:tcPr>
            <w:tcW w:w="1337"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30</w:t>
            </w:r>
            <w:r w:rsidR="00925B68">
              <w:rPr>
                <w:color w:val="000000"/>
                <w:sz w:val="22"/>
                <w:szCs w:val="22"/>
                <w:lang/>
              </w:rPr>
              <w:t>.</w:t>
            </w:r>
            <w:r w:rsidRPr="009C0082">
              <w:rPr>
                <w:color w:val="000000"/>
                <w:sz w:val="22"/>
                <w:szCs w:val="22"/>
                <w:lang/>
              </w:rPr>
              <w:t>821</w:t>
            </w:r>
          </w:p>
        </w:tc>
        <w:tc>
          <w:tcPr>
            <w:tcW w:w="1150"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103</w:t>
            </w:r>
            <w:r w:rsidR="00925B68">
              <w:rPr>
                <w:color w:val="000000"/>
                <w:sz w:val="22"/>
                <w:szCs w:val="22"/>
                <w:lang/>
              </w:rPr>
              <w:t>.</w:t>
            </w:r>
            <w:r w:rsidRPr="009C0082">
              <w:rPr>
                <w:color w:val="000000"/>
                <w:sz w:val="22"/>
                <w:szCs w:val="22"/>
                <w:lang/>
              </w:rPr>
              <w:t>262</w:t>
            </w:r>
          </w:p>
        </w:tc>
      </w:tr>
      <w:tr w:rsidR="00772822" w:rsidRPr="00D52A15" w:rsidTr="00772822">
        <w:trPr>
          <w:trHeight w:val="380"/>
        </w:trPr>
        <w:tc>
          <w:tcPr>
            <w:tcW w:w="1177" w:type="pct"/>
            <w:shd w:val="clear" w:color="auto" w:fill="auto"/>
            <w:noWrap/>
            <w:vAlign w:val="center"/>
            <w:hideMark/>
          </w:tcPr>
          <w:p w:rsidR="00772822" w:rsidRPr="009C0082" w:rsidRDefault="008167AA" w:rsidP="009C0082">
            <w:pPr>
              <w:jc w:val="left"/>
              <w:rPr>
                <w:color w:val="000000"/>
                <w:lang/>
              </w:rPr>
            </w:pPr>
            <w:r w:rsidRPr="009C0082">
              <w:rPr>
                <w:color w:val="000000"/>
                <w:sz w:val="22"/>
                <w:szCs w:val="22"/>
                <w:lang/>
              </w:rPr>
              <w:t>Обојени метали</w:t>
            </w:r>
          </w:p>
        </w:tc>
        <w:tc>
          <w:tcPr>
            <w:tcW w:w="1336"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4</w:t>
            </w:r>
            <w:r w:rsidR="00925B68">
              <w:rPr>
                <w:color w:val="000000"/>
                <w:sz w:val="22"/>
                <w:szCs w:val="22"/>
                <w:lang/>
              </w:rPr>
              <w:t>.</w:t>
            </w:r>
            <w:r w:rsidRPr="009C0082">
              <w:rPr>
                <w:color w:val="000000"/>
                <w:sz w:val="22"/>
                <w:szCs w:val="22"/>
                <w:lang/>
              </w:rPr>
              <w:t>846</w:t>
            </w:r>
          </w:p>
        </w:tc>
        <w:tc>
          <w:tcPr>
            <w:tcW w:w="1337"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3</w:t>
            </w:r>
            <w:r w:rsidR="00925B68">
              <w:rPr>
                <w:color w:val="000000"/>
                <w:sz w:val="22"/>
                <w:szCs w:val="22"/>
                <w:lang/>
              </w:rPr>
              <w:t>.</w:t>
            </w:r>
            <w:r w:rsidRPr="009C0082">
              <w:rPr>
                <w:color w:val="000000"/>
                <w:sz w:val="22"/>
                <w:szCs w:val="22"/>
                <w:lang/>
              </w:rPr>
              <w:t>965</w:t>
            </w:r>
          </w:p>
        </w:tc>
        <w:tc>
          <w:tcPr>
            <w:tcW w:w="1150"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10</w:t>
            </w:r>
            <w:r w:rsidR="00925B68">
              <w:rPr>
                <w:color w:val="000000"/>
                <w:sz w:val="22"/>
                <w:szCs w:val="22"/>
                <w:lang/>
              </w:rPr>
              <w:t>.</w:t>
            </w:r>
            <w:r w:rsidRPr="009C0082">
              <w:rPr>
                <w:color w:val="000000"/>
                <w:sz w:val="22"/>
                <w:szCs w:val="22"/>
                <w:lang/>
              </w:rPr>
              <w:t>120</w:t>
            </w:r>
          </w:p>
        </w:tc>
      </w:tr>
      <w:tr w:rsidR="00772822" w:rsidRPr="00D52A15" w:rsidTr="00772822">
        <w:trPr>
          <w:trHeight w:val="340"/>
        </w:trPr>
        <w:tc>
          <w:tcPr>
            <w:tcW w:w="1177" w:type="pct"/>
            <w:shd w:val="clear" w:color="auto" w:fill="auto"/>
            <w:noWrap/>
            <w:vAlign w:val="center"/>
            <w:hideMark/>
          </w:tcPr>
          <w:p w:rsidR="00772822" w:rsidRPr="009C0082" w:rsidRDefault="008167AA" w:rsidP="009C0082">
            <w:pPr>
              <w:jc w:val="left"/>
              <w:rPr>
                <w:color w:val="000000"/>
                <w:lang/>
              </w:rPr>
            </w:pPr>
            <w:r w:rsidRPr="009C0082">
              <w:rPr>
                <w:color w:val="000000"/>
                <w:sz w:val="22"/>
                <w:szCs w:val="22"/>
                <w:lang/>
              </w:rPr>
              <w:t>Неметаличне минералне сировине</w:t>
            </w:r>
          </w:p>
        </w:tc>
        <w:tc>
          <w:tcPr>
            <w:tcW w:w="1336"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87</w:t>
            </w:r>
            <w:r w:rsidR="00925B68">
              <w:rPr>
                <w:color w:val="000000"/>
                <w:sz w:val="22"/>
                <w:szCs w:val="22"/>
                <w:lang/>
              </w:rPr>
              <w:t>.</w:t>
            </w:r>
            <w:r w:rsidRPr="009C0082">
              <w:rPr>
                <w:color w:val="000000"/>
                <w:sz w:val="22"/>
                <w:szCs w:val="22"/>
                <w:lang/>
              </w:rPr>
              <w:t>665</w:t>
            </w:r>
          </w:p>
        </w:tc>
        <w:tc>
          <w:tcPr>
            <w:tcW w:w="1337"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18</w:t>
            </w:r>
            <w:r w:rsidR="00925B68">
              <w:rPr>
                <w:color w:val="000000"/>
                <w:sz w:val="22"/>
                <w:szCs w:val="22"/>
                <w:lang/>
              </w:rPr>
              <w:t>.</w:t>
            </w:r>
            <w:r w:rsidRPr="009C0082">
              <w:rPr>
                <w:color w:val="000000"/>
                <w:sz w:val="22"/>
                <w:szCs w:val="22"/>
                <w:lang/>
              </w:rPr>
              <w:t>456</w:t>
            </w:r>
          </w:p>
        </w:tc>
        <w:tc>
          <w:tcPr>
            <w:tcW w:w="1150"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112</w:t>
            </w:r>
            <w:r w:rsidR="00925B68">
              <w:rPr>
                <w:color w:val="000000"/>
                <w:sz w:val="22"/>
                <w:szCs w:val="22"/>
                <w:lang/>
              </w:rPr>
              <w:t>.</w:t>
            </w:r>
            <w:r w:rsidRPr="009C0082">
              <w:rPr>
                <w:color w:val="000000"/>
                <w:sz w:val="22"/>
                <w:szCs w:val="22"/>
                <w:lang/>
              </w:rPr>
              <w:t>211</w:t>
            </w:r>
          </w:p>
        </w:tc>
      </w:tr>
      <w:tr w:rsidR="00772822" w:rsidRPr="00D52A15" w:rsidTr="00772822">
        <w:trPr>
          <w:trHeight w:val="360"/>
        </w:trPr>
        <w:tc>
          <w:tcPr>
            <w:tcW w:w="1177" w:type="pct"/>
            <w:shd w:val="clear" w:color="auto" w:fill="auto"/>
            <w:noWrap/>
            <w:vAlign w:val="center"/>
            <w:hideMark/>
          </w:tcPr>
          <w:p w:rsidR="00772822" w:rsidRPr="009C0082" w:rsidRDefault="008167AA" w:rsidP="009C0082">
            <w:pPr>
              <w:jc w:val="left"/>
              <w:rPr>
                <w:lang/>
              </w:rPr>
            </w:pPr>
            <w:r w:rsidRPr="009C0082">
              <w:rPr>
                <w:sz w:val="22"/>
                <w:szCs w:val="22"/>
                <w:lang/>
              </w:rPr>
              <w:t>Транспортна средства</w:t>
            </w:r>
          </w:p>
        </w:tc>
        <w:tc>
          <w:tcPr>
            <w:tcW w:w="1336" w:type="pct"/>
            <w:shd w:val="clear" w:color="auto" w:fill="auto"/>
            <w:noWrap/>
            <w:vAlign w:val="center"/>
            <w:hideMark/>
          </w:tcPr>
          <w:p w:rsidR="00772822" w:rsidRPr="009C0082" w:rsidRDefault="00772822" w:rsidP="00C24362">
            <w:pPr>
              <w:jc w:val="center"/>
              <w:rPr>
                <w:lang/>
              </w:rPr>
            </w:pPr>
            <w:r w:rsidRPr="009C0082">
              <w:rPr>
                <w:sz w:val="22"/>
                <w:szCs w:val="22"/>
                <w:lang/>
              </w:rPr>
              <w:t>1</w:t>
            </w:r>
            <w:r w:rsidR="00925B68">
              <w:rPr>
                <w:sz w:val="22"/>
                <w:szCs w:val="22"/>
                <w:lang/>
              </w:rPr>
              <w:t>.</w:t>
            </w:r>
            <w:r w:rsidRPr="009C0082">
              <w:rPr>
                <w:sz w:val="22"/>
                <w:szCs w:val="22"/>
                <w:lang/>
              </w:rPr>
              <w:t>546</w:t>
            </w:r>
          </w:p>
        </w:tc>
        <w:tc>
          <w:tcPr>
            <w:tcW w:w="1337" w:type="pct"/>
            <w:shd w:val="clear" w:color="auto" w:fill="auto"/>
            <w:noWrap/>
            <w:vAlign w:val="center"/>
            <w:hideMark/>
          </w:tcPr>
          <w:p w:rsidR="00772822" w:rsidRPr="009C0082" w:rsidRDefault="00772822" w:rsidP="00C24362">
            <w:pPr>
              <w:jc w:val="center"/>
              <w:rPr>
                <w:lang/>
              </w:rPr>
            </w:pPr>
            <w:r w:rsidRPr="009C0082">
              <w:rPr>
                <w:sz w:val="22"/>
                <w:szCs w:val="22"/>
                <w:lang/>
              </w:rPr>
              <w:t>1</w:t>
            </w:r>
            <w:r w:rsidR="00925B68">
              <w:rPr>
                <w:sz w:val="22"/>
                <w:szCs w:val="22"/>
                <w:lang/>
              </w:rPr>
              <w:t>.</w:t>
            </w:r>
            <w:r w:rsidRPr="009C0082">
              <w:rPr>
                <w:sz w:val="22"/>
                <w:szCs w:val="22"/>
                <w:lang/>
              </w:rPr>
              <w:t>250</w:t>
            </w:r>
          </w:p>
        </w:tc>
        <w:tc>
          <w:tcPr>
            <w:tcW w:w="1150" w:type="pct"/>
            <w:shd w:val="clear" w:color="auto" w:fill="auto"/>
            <w:noWrap/>
            <w:vAlign w:val="center"/>
            <w:hideMark/>
          </w:tcPr>
          <w:p w:rsidR="00772822" w:rsidRPr="009C0082" w:rsidRDefault="00772822" w:rsidP="00C24362">
            <w:pPr>
              <w:jc w:val="center"/>
              <w:rPr>
                <w:lang/>
              </w:rPr>
            </w:pPr>
            <w:r w:rsidRPr="009C0082">
              <w:rPr>
                <w:sz w:val="22"/>
                <w:szCs w:val="22"/>
                <w:lang/>
              </w:rPr>
              <w:t>3</w:t>
            </w:r>
            <w:r w:rsidR="00925B68">
              <w:rPr>
                <w:sz w:val="22"/>
                <w:szCs w:val="22"/>
                <w:lang/>
              </w:rPr>
              <w:t>.</w:t>
            </w:r>
            <w:r w:rsidRPr="009C0082">
              <w:rPr>
                <w:sz w:val="22"/>
                <w:szCs w:val="22"/>
                <w:lang/>
              </w:rPr>
              <w:t>209</w:t>
            </w:r>
          </w:p>
        </w:tc>
      </w:tr>
      <w:tr w:rsidR="00772822" w:rsidRPr="00D52A15" w:rsidTr="00772822">
        <w:trPr>
          <w:trHeight w:val="360"/>
        </w:trPr>
        <w:tc>
          <w:tcPr>
            <w:tcW w:w="1177" w:type="pct"/>
            <w:shd w:val="clear" w:color="auto" w:fill="auto"/>
            <w:noWrap/>
            <w:vAlign w:val="center"/>
            <w:hideMark/>
          </w:tcPr>
          <w:p w:rsidR="00772822" w:rsidRPr="009C0082" w:rsidRDefault="008167AA" w:rsidP="009C0082">
            <w:pPr>
              <w:jc w:val="left"/>
              <w:rPr>
                <w:lang/>
              </w:rPr>
            </w:pPr>
            <w:r w:rsidRPr="009C0082">
              <w:rPr>
                <w:sz w:val="22"/>
                <w:szCs w:val="22"/>
                <w:lang/>
              </w:rPr>
              <w:t>Индустрија машина</w:t>
            </w:r>
          </w:p>
        </w:tc>
        <w:tc>
          <w:tcPr>
            <w:tcW w:w="1336" w:type="pct"/>
            <w:shd w:val="clear" w:color="auto" w:fill="auto"/>
            <w:noWrap/>
            <w:vAlign w:val="center"/>
            <w:hideMark/>
          </w:tcPr>
          <w:p w:rsidR="00772822" w:rsidRPr="009C0082" w:rsidRDefault="00772822" w:rsidP="00C24362">
            <w:pPr>
              <w:jc w:val="center"/>
              <w:rPr>
                <w:lang/>
              </w:rPr>
            </w:pPr>
            <w:r w:rsidRPr="009C0082">
              <w:rPr>
                <w:sz w:val="22"/>
                <w:szCs w:val="22"/>
                <w:lang/>
              </w:rPr>
              <w:t>8</w:t>
            </w:r>
            <w:r w:rsidR="00925B68">
              <w:rPr>
                <w:sz w:val="22"/>
                <w:szCs w:val="22"/>
                <w:lang/>
              </w:rPr>
              <w:t>.</w:t>
            </w:r>
            <w:r w:rsidRPr="009C0082">
              <w:rPr>
                <w:sz w:val="22"/>
                <w:szCs w:val="22"/>
                <w:lang/>
              </w:rPr>
              <w:t>528</w:t>
            </w:r>
          </w:p>
        </w:tc>
        <w:tc>
          <w:tcPr>
            <w:tcW w:w="1337" w:type="pct"/>
            <w:shd w:val="clear" w:color="auto" w:fill="auto"/>
            <w:noWrap/>
            <w:vAlign w:val="center"/>
            <w:hideMark/>
          </w:tcPr>
          <w:p w:rsidR="00772822" w:rsidRPr="009C0082" w:rsidRDefault="00772822" w:rsidP="00C24362">
            <w:pPr>
              <w:jc w:val="center"/>
              <w:rPr>
                <w:lang/>
              </w:rPr>
            </w:pPr>
            <w:r w:rsidRPr="009C0082">
              <w:rPr>
                <w:sz w:val="22"/>
                <w:szCs w:val="22"/>
                <w:lang/>
              </w:rPr>
              <w:t>6</w:t>
            </w:r>
            <w:r w:rsidR="00925B68">
              <w:rPr>
                <w:sz w:val="22"/>
                <w:szCs w:val="22"/>
                <w:lang/>
              </w:rPr>
              <w:t>.</w:t>
            </w:r>
            <w:r w:rsidRPr="009C0082">
              <w:rPr>
                <w:sz w:val="22"/>
                <w:szCs w:val="22"/>
                <w:lang/>
              </w:rPr>
              <w:t>701</w:t>
            </w:r>
          </w:p>
        </w:tc>
        <w:tc>
          <w:tcPr>
            <w:tcW w:w="1150" w:type="pct"/>
            <w:shd w:val="clear" w:color="auto" w:fill="auto"/>
            <w:noWrap/>
            <w:vAlign w:val="center"/>
            <w:hideMark/>
          </w:tcPr>
          <w:p w:rsidR="00772822" w:rsidRPr="009C0082" w:rsidRDefault="00772822" w:rsidP="00C24362">
            <w:pPr>
              <w:jc w:val="center"/>
              <w:rPr>
                <w:lang/>
              </w:rPr>
            </w:pPr>
            <w:r w:rsidRPr="009C0082">
              <w:rPr>
                <w:sz w:val="22"/>
                <w:szCs w:val="22"/>
                <w:lang/>
              </w:rPr>
              <w:t>17</w:t>
            </w:r>
            <w:r w:rsidR="00925B68">
              <w:rPr>
                <w:sz w:val="22"/>
                <w:szCs w:val="22"/>
                <w:lang/>
              </w:rPr>
              <w:t>.</w:t>
            </w:r>
            <w:r w:rsidRPr="009C0082">
              <w:rPr>
                <w:sz w:val="22"/>
                <w:szCs w:val="22"/>
                <w:lang/>
              </w:rPr>
              <w:t>440</w:t>
            </w:r>
          </w:p>
        </w:tc>
      </w:tr>
      <w:tr w:rsidR="00772822" w:rsidRPr="00D52A15" w:rsidTr="00772822">
        <w:trPr>
          <w:trHeight w:val="360"/>
        </w:trPr>
        <w:tc>
          <w:tcPr>
            <w:tcW w:w="1177" w:type="pct"/>
            <w:shd w:val="clear" w:color="auto" w:fill="auto"/>
            <w:noWrap/>
            <w:vAlign w:val="center"/>
            <w:hideMark/>
          </w:tcPr>
          <w:p w:rsidR="00772822" w:rsidRPr="009C0082" w:rsidRDefault="008167AA" w:rsidP="009C0082">
            <w:pPr>
              <w:jc w:val="left"/>
              <w:rPr>
                <w:color w:val="000000"/>
                <w:lang/>
              </w:rPr>
            </w:pPr>
            <w:r w:rsidRPr="009C0082">
              <w:rPr>
                <w:color w:val="000000"/>
                <w:sz w:val="22"/>
                <w:szCs w:val="22"/>
                <w:lang/>
              </w:rPr>
              <w:t>Храна, пиће и дуван</w:t>
            </w:r>
          </w:p>
        </w:tc>
        <w:tc>
          <w:tcPr>
            <w:tcW w:w="1336"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64</w:t>
            </w:r>
            <w:r w:rsidR="00925B68">
              <w:rPr>
                <w:color w:val="000000"/>
                <w:sz w:val="22"/>
                <w:szCs w:val="22"/>
                <w:lang/>
              </w:rPr>
              <w:t>.</w:t>
            </w:r>
            <w:r w:rsidRPr="009C0082">
              <w:rPr>
                <w:color w:val="000000"/>
                <w:sz w:val="22"/>
                <w:szCs w:val="22"/>
                <w:lang/>
              </w:rPr>
              <w:t>976</w:t>
            </w:r>
          </w:p>
        </w:tc>
        <w:tc>
          <w:tcPr>
            <w:tcW w:w="1337"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224</w:t>
            </w:r>
            <w:r w:rsidR="00925B68">
              <w:rPr>
                <w:color w:val="000000"/>
                <w:sz w:val="22"/>
                <w:szCs w:val="22"/>
                <w:lang/>
              </w:rPr>
              <w:t>.</w:t>
            </w:r>
            <w:r w:rsidRPr="009C0082">
              <w:rPr>
                <w:color w:val="000000"/>
                <w:sz w:val="22"/>
                <w:szCs w:val="22"/>
                <w:lang/>
              </w:rPr>
              <w:t>754</w:t>
            </w:r>
          </w:p>
        </w:tc>
        <w:tc>
          <w:tcPr>
            <w:tcW w:w="1150"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363</w:t>
            </w:r>
            <w:r w:rsidR="00925B68">
              <w:rPr>
                <w:color w:val="000000"/>
                <w:sz w:val="22"/>
                <w:szCs w:val="22"/>
                <w:lang/>
              </w:rPr>
              <w:t>.</w:t>
            </w:r>
            <w:r w:rsidRPr="009C0082">
              <w:rPr>
                <w:color w:val="000000"/>
                <w:sz w:val="22"/>
                <w:szCs w:val="22"/>
                <w:lang/>
              </w:rPr>
              <w:t>900</w:t>
            </w:r>
          </w:p>
        </w:tc>
      </w:tr>
      <w:tr w:rsidR="00772822" w:rsidRPr="00D52A15" w:rsidTr="00772822">
        <w:trPr>
          <w:trHeight w:val="360"/>
        </w:trPr>
        <w:tc>
          <w:tcPr>
            <w:tcW w:w="1177" w:type="pct"/>
            <w:shd w:val="clear" w:color="auto" w:fill="auto"/>
            <w:noWrap/>
            <w:vAlign w:val="center"/>
            <w:hideMark/>
          </w:tcPr>
          <w:p w:rsidR="00772822" w:rsidRPr="009C0082" w:rsidRDefault="008167AA" w:rsidP="009C0082">
            <w:pPr>
              <w:jc w:val="left"/>
              <w:rPr>
                <w:color w:val="000000"/>
                <w:lang/>
              </w:rPr>
            </w:pPr>
            <w:r w:rsidRPr="009C0082">
              <w:rPr>
                <w:color w:val="000000"/>
                <w:sz w:val="22"/>
                <w:szCs w:val="22"/>
                <w:lang/>
              </w:rPr>
              <w:t>Папир и штампа</w:t>
            </w:r>
          </w:p>
        </w:tc>
        <w:tc>
          <w:tcPr>
            <w:tcW w:w="1336"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16</w:t>
            </w:r>
            <w:r w:rsidR="00925B68">
              <w:rPr>
                <w:color w:val="000000"/>
                <w:sz w:val="22"/>
                <w:szCs w:val="22"/>
                <w:lang/>
              </w:rPr>
              <w:t>.</w:t>
            </w:r>
            <w:r w:rsidRPr="009C0082">
              <w:rPr>
                <w:color w:val="000000"/>
                <w:sz w:val="22"/>
                <w:szCs w:val="22"/>
                <w:lang/>
              </w:rPr>
              <w:t>873</w:t>
            </w:r>
          </w:p>
        </w:tc>
        <w:tc>
          <w:tcPr>
            <w:tcW w:w="1337"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399</w:t>
            </w:r>
          </w:p>
        </w:tc>
        <w:tc>
          <w:tcPr>
            <w:tcW w:w="1150"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17</w:t>
            </w:r>
            <w:r w:rsidR="00925B68">
              <w:rPr>
                <w:color w:val="000000"/>
                <w:sz w:val="22"/>
                <w:szCs w:val="22"/>
                <w:lang/>
              </w:rPr>
              <w:t>.</w:t>
            </w:r>
            <w:r w:rsidRPr="009C0082">
              <w:rPr>
                <w:color w:val="000000"/>
                <w:sz w:val="22"/>
                <w:szCs w:val="22"/>
                <w:lang/>
              </w:rPr>
              <w:t>403</w:t>
            </w:r>
          </w:p>
        </w:tc>
      </w:tr>
      <w:tr w:rsidR="00772822" w:rsidRPr="00D52A15" w:rsidTr="00772822">
        <w:trPr>
          <w:trHeight w:val="360"/>
        </w:trPr>
        <w:tc>
          <w:tcPr>
            <w:tcW w:w="1177" w:type="pct"/>
            <w:shd w:val="clear" w:color="auto" w:fill="auto"/>
            <w:noWrap/>
            <w:vAlign w:val="center"/>
            <w:hideMark/>
          </w:tcPr>
          <w:p w:rsidR="00772822" w:rsidRPr="009C0082" w:rsidRDefault="008167AA" w:rsidP="009C0082">
            <w:pPr>
              <w:jc w:val="left"/>
              <w:rPr>
                <w:color w:val="000000"/>
                <w:lang/>
              </w:rPr>
            </w:pPr>
            <w:r w:rsidRPr="009C0082">
              <w:rPr>
                <w:color w:val="000000"/>
                <w:sz w:val="22"/>
                <w:szCs w:val="22"/>
                <w:lang/>
              </w:rPr>
              <w:t>Дрво и производи од дрвета</w:t>
            </w:r>
          </w:p>
        </w:tc>
        <w:tc>
          <w:tcPr>
            <w:tcW w:w="1336"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5</w:t>
            </w:r>
            <w:r w:rsidR="00925B68">
              <w:rPr>
                <w:color w:val="000000"/>
                <w:sz w:val="22"/>
                <w:szCs w:val="22"/>
                <w:lang/>
              </w:rPr>
              <w:t>.</w:t>
            </w:r>
            <w:r w:rsidRPr="009C0082">
              <w:rPr>
                <w:color w:val="000000"/>
                <w:sz w:val="22"/>
                <w:szCs w:val="22"/>
                <w:lang/>
              </w:rPr>
              <w:t>902</w:t>
            </w:r>
          </w:p>
        </w:tc>
        <w:tc>
          <w:tcPr>
            <w:tcW w:w="1337"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139</w:t>
            </w:r>
          </w:p>
        </w:tc>
        <w:tc>
          <w:tcPr>
            <w:tcW w:w="1150"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6</w:t>
            </w:r>
            <w:r w:rsidR="00925B68">
              <w:rPr>
                <w:color w:val="000000"/>
                <w:sz w:val="22"/>
                <w:szCs w:val="22"/>
                <w:lang/>
              </w:rPr>
              <w:t>.</w:t>
            </w:r>
            <w:r w:rsidRPr="009C0082">
              <w:rPr>
                <w:color w:val="000000"/>
                <w:sz w:val="22"/>
                <w:szCs w:val="22"/>
                <w:lang/>
              </w:rPr>
              <w:t>088</w:t>
            </w:r>
          </w:p>
        </w:tc>
      </w:tr>
      <w:tr w:rsidR="00772822" w:rsidRPr="00D52A15" w:rsidTr="00772822">
        <w:trPr>
          <w:trHeight w:val="360"/>
        </w:trPr>
        <w:tc>
          <w:tcPr>
            <w:tcW w:w="1177" w:type="pct"/>
            <w:shd w:val="clear" w:color="auto" w:fill="auto"/>
            <w:noWrap/>
            <w:vAlign w:val="center"/>
            <w:hideMark/>
          </w:tcPr>
          <w:p w:rsidR="00772822" w:rsidRPr="009C0082" w:rsidRDefault="008167AA" w:rsidP="009C0082">
            <w:pPr>
              <w:jc w:val="left"/>
              <w:rPr>
                <w:color w:val="000000"/>
                <w:lang/>
              </w:rPr>
            </w:pPr>
            <w:r w:rsidRPr="009C0082">
              <w:rPr>
                <w:color w:val="000000"/>
                <w:sz w:val="22"/>
                <w:szCs w:val="22"/>
                <w:lang/>
              </w:rPr>
              <w:t>Текстил и кожа</w:t>
            </w:r>
          </w:p>
        </w:tc>
        <w:tc>
          <w:tcPr>
            <w:tcW w:w="1336"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17</w:t>
            </w:r>
            <w:r w:rsidR="00925B68">
              <w:rPr>
                <w:color w:val="000000"/>
                <w:sz w:val="22"/>
                <w:szCs w:val="22"/>
                <w:lang/>
              </w:rPr>
              <w:t>.</w:t>
            </w:r>
            <w:r w:rsidRPr="009C0082">
              <w:rPr>
                <w:color w:val="000000"/>
                <w:sz w:val="22"/>
                <w:szCs w:val="22"/>
                <w:lang/>
              </w:rPr>
              <w:t>047</w:t>
            </w:r>
          </w:p>
        </w:tc>
        <w:tc>
          <w:tcPr>
            <w:tcW w:w="1337"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13</w:t>
            </w:r>
            <w:r w:rsidR="00925B68">
              <w:rPr>
                <w:color w:val="000000"/>
                <w:sz w:val="22"/>
                <w:szCs w:val="22"/>
                <w:lang/>
              </w:rPr>
              <w:t>.</w:t>
            </w:r>
            <w:r w:rsidRPr="009C0082">
              <w:rPr>
                <w:color w:val="000000"/>
                <w:sz w:val="22"/>
                <w:szCs w:val="22"/>
                <w:lang/>
              </w:rPr>
              <w:t>778</w:t>
            </w:r>
          </w:p>
        </w:tc>
        <w:tc>
          <w:tcPr>
            <w:tcW w:w="1150"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35</w:t>
            </w:r>
            <w:r w:rsidR="00925B68">
              <w:rPr>
                <w:color w:val="000000"/>
                <w:sz w:val="22"/>
                <w:szCs w:val="22"/>
                <w:lang/>
              </w:rPr>
              <w:t>.</w:t>
            </w:r>
            <w:r w:rsidRPr="009C0082">
              <w:rPr>
                <w:color w:val="000000"/>
                <w:sz w:val="22"/>
                <w:szCs w:val="22"/>
                <w:lang/>
              </w:rPr>
              <w:t>371</w:t>
            </w:r>
          </w:p>
        </w:tc>
      </w:tr>
      <w:tr w:rsidR="00772822" w:rsidRPr="00D52A15" w:rsidTr="00772822">
        <w:trPr>
          <w:trHeight w:val="360"/>
        </w:trPr>
        <w:tc>
          <w:tcPr>
            <w:tcW w:w="1177" w:type="pct"/>
            <w:shd w:val="clear" w:color="auto" w:fill="auto"/>
            <w:noWrap/>
            <w:vAlign w:val="center"/>
            <w:hideMark/>
          </w:tcPr>
          <w:p w:rsidR="00772822" w:rsidRPr="009C0082" w:rsidRDefault="008167AA" w:rsidP="009C0082">
            <w:pPr>
              <w:jc w:val="left"/>
              <w:rPr>
                <w:color w:val="000000"/>
                <w:lang/>
              </w:rPr>
            </w:pPr>
            <w:r w:rsidRPr="009C0082">
              <w:rPr>
                <w:color w:val="000000"/>
                <w:sz w:val="22"/>
                <w:szCs w:val="22"/>
                <w:lang/>
              </w:rPr>
              <w:t xml:space="preserve">Не специфицирано </w:t>
            </w:r>
          </w:p>
        </w:tc>
        <w:tc>
          <w:tcPr>
            <w:tcW w:w="1336"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21</w:t>
            </w:r>
            <w:r w:rsidR="00925B68">
              <w:rPr>
                <w:color w:val="000000"/>
                <w:sz w:val="22"/>
                <w:szCs w:val="22"/>
                <w:lang/>
              </w:rPr>
              <w:t>.</w:t>
            </w:r>
            <w:r w:rsidRPr="009C0082">
              <w:rPr>
                <w:color w:val="000000"/>
                <w:sz w:val="22"/>
                <w:szCs w:val="22"/>
                <w:lang/>
              </w:rPr>
              <w:t>853</w:t>
            </w:r>
          </w:p>
        </w:tc>
        <w:tc>
          <w:tcPr>
            <w:tcW w:w="1337"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17</w:t>
            </w:r>
            <w:r w:rsidR="00925B68">
              <w:rPr>
                <w:color w:val="000000"/>
                <w:sz w:val="22"/>
                <w:szCs w:val="22"/>
                <w:lang/>
              </w:rPr>
              <w:t>.</w:t>
            </w:r>
            <w:r w:rsidRPr="009C0082">
              <w:rPr>
                <w:color w:val="000000"/>
                <w:sz w:val="22"/>
                <w:szCs w:val="22"/>
                <w:lang/>
              </w:rPr>
              <w:t>512</w:t>
            </w:r>
          </w:p>
        </w:tc>
        <w:tc>
          <w:tcPr>
            <w:tcW w:w="1150" w:type="pct"/>
            <w:shd w:val="clear" w:color="auto" w:fill="auto"/>
            <w:noWrap/>
            <w:vAlign w:val="center"/>
            <w:hideMark/>
          </w:tcPr>
          <w:p w:rsidR="00772822" w:rsidRPr="009C0082" w:rsidRDefault="00772822" w:rsidP="00C24362">
            <w:pPr>
              <w:jc w:val="center"/>
              <w:rPr>
                <w:color w:val="000000"/>
                <w:lang/>
              </w:rPr>
            </w:pPr>
            <w:r w:rsidRPr="009C0082">
              <w:rPr>
                <w:color w:val="000000"/>
                <w:sz w:val="22"/>
                <w:szCs w:val="22"/>
                <w:lang/>
              </w:rPr>
              <w:t>45</w:t>
            </w:r>
            <w:r w:rsidR="00925B68">
              <w:rPr>
                <w:color w:val="000000"/>
                <w:sz w:val="22"/>
                <w:szCs w:val="22"/>
                <w:lang/>
              </w:rPr>
              <w:t>.</w:t>
            </w:r>
            <w:r w:rsidRPr="009C0082">
              <w:rPr>
                <w:color w:val="000000"/>
                <w:sz w:val="22"/>
                <w:szCs w:val="22"/>
                <w:lang/>
              </w:rPr>
              <w:t>145</w:t>
            </w:r>
          </w:p>
        </w:tc>
      </w:tr>
      <w:tr w:rsidR="00772822" w:rsidRPr="00D52A15" w:rsidTr="00772822">
        <w:trPr>
          <w:trHeight w:val="360"/>
        </w:trPr>
        <w:tc>
          <w:tcPr>
            <w:tcW w:w="1177" w:type="pct"/>
            <w:shd w:val="clear" w:color="auto" w:fill="auto"/>
            <w:noWrap/>
            <w:vAlign w:val="center"/>
          </w:tcPr>
          <w:p w:rsidR="00772822" w:rsidRPr="009C0082" w:rsidRDefault="008167AA" w:rsidP="00C24362">
            <w:pPr>
              <w:jc w:val="center"/>
              <w:rPr>
                <w:b/>
                <w:bCs/>
                <w:color w:val="000000"/>
                <w:lang/>
              </w:rPr>
            </w:pPr>
            <w:r w:rsidRPr="009C0082">
              <w:rPr>
                <w:b/>
                <w:bCs/>
                <w:color w:val="000000"/>
                <w:sz w:val="22"/>
                <w:szCs w:val="22"/>
                <w:lang/>
              </w:rPr>
              <w:t>Укупно</w:t>
            </w:r>
          </w:p>
        </w:tc>
        <w:tc>
          <w:tcPr>
            <w:tcW w:w="1336" w:type="pct"/>
            <w:shd w:val="clear" w:color="auto" w:fill="auto"/>
            <w:noWrap/>
            <w:vAlign w:val="center"/>
          </w:tcPr>
          <w:p w:rsidR="00772822" w:rsidRPr="009C0082" w:rsidRDefault="00772822" w:rsidP="00C24362">
            <w:pPr>
              <w:jc w:val="center"/>
              <w:rPr>
                <w:b/>
                <w:bCs/>
                <w:color w:val="000000"/>
                <w:lang/>
              </w:rPr>
            </w:pPr>
            <w:r w:rsidRPr="009C0082">
              <w:rPr>
                <w:b/>
                <w:bCs/>
                <w:color w:val="000000"/>
                <w:sz w:val="22"/>
                <w:szCs w:val="22"/>
                <w:lang/>
              </w:rPr>
              <w:t>315</w:t>
            </w:r>
            <w:r w:rsidR="00925B68">
              <w:rPr>
                <w:b/>
                <w:bCs/>
                <w:color w:val="000000"/>
                <w:sz w:val="22"/>
                <w:szCs w:val="22"/>
                <w:lang/>
              </w:rPr>
              <w:t>.</w:t>
            </w:r>
            <w:r w:rsidRPr="009C0082">
              <w:rPr>
                <w:b/>
                <w:bCs/>
                <w:color w:val="000000"/>
                <w:sz w:val="22"/>
                <w:szCs w:val="22"/>
                <w:lang/>
              </w:rPr>
              <w:t>915</w:t>
            </w:r>
          </w:p>
        </w:tc>
        <w:tc>
          <w:tcPr>
            <w:tcW w:w="1337" w:type="pct"/>
            <w:shd w:val="clear" w:color="auto" w:fill="auto"/>
            <w:noWrap/>
            <w:vAlign w:val="center"/>
          </w:tcPr>
          <w:p w:rsidR="00772822" w:rsidRPr="009C0082" w:rsidRDefault="00772822" w:rsidP="00C24362">
            <w:pPr>
              <w:jc w:val="center"/>
              <w:rPr>
                <w:b/>
                <w:bCs/>
                <w:color w:val="000000"/>
                <w:lang/>
              </w:rPr>
            </w:pPr>
            <w:r w:rsidRPr="009C0082">
              <w:rPr>
                <w:b/>
                <w:bCs/>
                <w:color w:val="000000"/>
                <w:sz w:val="22"/>
                <w:szCs w:val="22"/>
                <w:lang/>
              </w:rPr>
              <w:t>337</w:t>
            </w:r>
            <w:r w:rsidR="00925B68">
              <w:rPr>
                <w:b/>
                <w:bCs/>
                <w:color w:val="000000"/>
                <w:sz w:val="22"/>
                <w:szCs w:val="22"/>
                <w:lang/>
              </w:rPr>
              <w:t>.</w:t>
            </w:r>
            <w:r w:rsidRPr="009C0082">
              <w:rPr>
                <w:b/>
                <w:bCs/>
                <w:color w:val="000000"/>
                <w:sz w:val="22"/>
                <w:szCs w:val="22"/>
                <w:lang/>
              </w:rPr>
              <w:t>744</w:t>
            </w:r>
          </w:p>
        </w:tc>
        <w:tc>
          <w:tcPr>
            <w:tcW w:w="1150" w:type="pct"/>
            <w:shd w:val="clear" w:color="auto" w:fill="auto"/>
            <w:noWrap/>
            <w:vAlign w:val="center"/>
          </w:tcPr>
          <w:p w:rsidR="00772822" w:rsidRPr="009C0082" w:rsidRDefault="00772822" w:rsidP="00C24362">
            <w:pPr>
              <w:jc w:val="center"/>
              <w:rPr>
                <w:b/>
                <w:bCs/>
                <w:color w:val="000000"/>
                <w:lang/>
              </w:rPr>
            </w:pPr>
            <w:r w:rsidRPr="009C0082">
              <w:rPr>
                <w:b/>
                <w:bCs/>
                <w:color w:val="000000"/>
                <w:sz w:val="22"/>
                <w:szCs w:val="22"/>
                <w:lang/>
              </w:rPr>
              <w:t>765</w:t>
            </w:r>
            <w:r w:rsidR="00925B68">
              <w:rPr>
                <w:b/>
                <w:bCs/>
                <w:color w:val="000000"/>
                <w:sz w:val="22"/>
                <w:szCs w:val="22"/>
                <w:lang/>
              </w:rPr>
              <w:t>.</w:t>
            </w:r>
            <w:r w:rsidRPr="009C0082">
              <w:rPr>
                <w:b/>
                <w:bCs/>
                <w:color w:val="000000"/>
                <w:sz w:val="22"/>
                <w:szCs w:val="22"/>
                <w:lang/>
              </w:rPr>
              <w:t>115</w:t>
            </w:r>
          </w:p>
        </w:tc>
      </w:tr>
    </w:tbl>
    <w:p w:rsidR="00772822" w:rsidRPr="00D52A15" w:rsidRDefault="00772822" w:rsidP="00C24362">
      <w:pPr>
        <w:rPr>
          <w:rFonts w:cstheme="minorHAnsi"/>
          <w:sz w:val="18"/>
          <w:szCs w:val="18"/>
          <w:lang/>
        </w:rPr>
      </w:pPr>
      <w:r w:rsidRPr="00D52A15">
        <w:rPr>
          <w:rFonts w:cstheme="minorHAnsi"/>
          <w:sz w:val="18"/>
          <w:szCs w:val="18"/>
          <w:lang/>
        </w:rPr>
        <w:t xml:space="preserve">* </w:t>
      </w:r>
      <w:r w:rsidR="008167AA" w:rsidRPr="00D52A15">
        <w:rPr>
          <w:rFonts w:cstheme="minorHAnsi"/>
          <w:sz w:val="18"/>
          <w:szCs w:val="18"/>
          <w:lang/>
        </w:rPr>
        <w:t xml:space="preserve">Предвиђено коришћење топлотних пумпи са </w:t>
      </w:r>
      <w:r w:rsidRPr="00D52A15">
        <w:rPr>
          <w:rFonts w:cstheme="minorHAnsi"/>
          <w:sz w:val="18"/>
          <w:szCs w:val="18"/>
          <w:lang/>
        </w:rPr>
        <w:t>COP = 4.</w:t>
      </w:r>
    </w:p>
    <w:p w:rsidR="00772822" w:rsidRPr="00D52A15" w:rsidRDefault="00772822" w:rsidP="00C24362">
      <w:pPr>
        <w:rPr>
          <w:lang/>
        </w:rPr>
      </w:pPr>
    </w:p>
    <w:p w:rsidR="00772822" w:rsidRPr="00D52A15" w:rsidRDefault="008167AA" w:rsidP="00C24362">
      <w:pPr>
        <w:rPr>
          <w:rFonts w:eastAsia="Calibri" w:cstheme="minorHAnsi"/>
          <w:lang w:eastAsia="en-GB"/>
        </w:rPr>
      </w:pPr>
      <w:r w:rsidRPr="00D52A15">
        <w:rPr>
          <w:rFonts w:eastAsia="Calibri" w:cstheme="minorHAnsi"/>
          <w:lang w:eastAsia="en-GB"/>
        </w:rPr>
        <w:t xml:space="preserve">Индикативна промена структуре производње енергије у системима даљинског грејања дата је на </w:t>
      </w:r>
      <w:r w:rsidR="00A5597F">
        <w:rPr>
          <w:rFonts w:eastAsia="Calibri" w:cstheme="minorHAnsi"/>
          <w:lang w:eastAsia="en-GB"/>
        </w:rPr>
        <w:t>С</w:t>
      </w:r>
      <w:r w:rsidRPr="00D52A15">
        <w:rPr>
          <w:rFonts w:eastAsia="Calibri" w:cstheme="minorHAnsi"/>
          <w:lang w:eastAsia="en-GB"/>
        </w:rPr>
        <w:t xml:space="preserve">лици 3. </w:t>
      </w:r>
    </w:p>
    <w:p w:rsidR="008167AA" w:rsidRPr="00D52A15" w:rsidRDefault="008167AA" w:rsidP="00C24362">
      <w:pPr>
        <w:rPr>
          <w:rFonts w:eastAsia="Calibri" w:cstheme="minorHAnsi"/>
          <w:lang w:eastAsia="en-GB"/>
        </w:rPr>
      </w:pPr>
    </w:p>
    <w:p w:rsidR="008167AA" w:rsidRPr="00D52A15" w:rsidRDefault="008167AA" w:rsidP="00C24362">
      <w:pPr>
        <w:rPr>
          <w:rFonts w:eastAsia="Calibri" w:cstheme="minorHAnsi"/>
          <w:b/>
          <w:bCs/>
          <w:lang w:eastAsia="en-GB"/>
        </w:rPr>
      </w:pPr>
    </w:p>
    <w:p w:rsidR="00935378" w:rsidRPr="00D52A15" w:rsidRDefault="00935378" w:rsidP="00C24362">
      <w:pPr>
        <w:jc w:val="center"/>
        <w:rPr>
          <w:lang/>
        </w:rPr>
      </w:pPr>
      <w:r w:rsidRPr="00D52A15">
        <w:rPr>
          <w:noProof/>
          <w:lang w:val="en-US"/>
        </w:rPr>
        <w:lastRenderedPageBreak/>
        <w:drawing>
          <wp:inline distT="0" distB="0" distL="0" distR="0">
            <wp:extent cx="5177174" cy="3556000"/>
            <wp:effectExtent l="19050" t="0" r="442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177790" cy="3556423"/>
                    </a:xfrm>
                    <a:prstGeom prst="rect">
                      <a:avLst/>
                    </a:prstGeom>
                    <a:noFill/>
                  </pic:spPr>
                </pic:pic>
              </a:graphicData>
            </a:graphic>
          </wp:inline>
        </w:drawing>
      </w:r>
    </w:p>
    <w:p w:rsidR="00935378" w:rsidRPr="005F1AFE" w:rsidRDefault="008167AA" w:rsidP="00C24362">
      <w:pPr>
        <w:pStyle w:val="Caption"/>
        <w:spacing w:after="0"/>
        <w:jc w:val="center"/>
        <w:rPr>
          <w:rFonts w:ascii="Times New Roman" w:hAnsi="Times New Roman" w:cs="Times New Roman"/>
          <w:b w:val="0"/>
          <w:bCs w:val="0"/>
          <w:i/>
          <w:iCs/>
          <w:color w:val="000000" w:themeColor="text1"/>
          <w:sz w:val="24"/>
          <w:szCs w:val="24"/>
          <w:lang/>
        </w:rPr>
      </w:pPr>
      <w:bookmarkStart w:id="8" w:name="_Toc130481959"/>
      <w:r w:rsidRPr="005F1AFE">
        <w:rPr>
          <w:rFonts w:ascii="Times New Roman" w:hAnsi="Times New Roman" w:cs="Times New Roman"/>
          <w:b w:val="0"/>
          <w:bCs w:val="0"/>
          <w:i/>
          <w:iCs/>
          <w:color w:val="000000" w:themeColor="text1"/>
          <w:sz w:val="24"/>
          <w:szCs w:val="24"/>
          <w:lang/>
        </w:rPr>
        <w:t>Слика 3</w:t>
      </w:r>
      <w:r w:rsidR="00935378" w:rsidRPr="005F1AFE">
        <w:rPr>
          <w:rFonts w:ascii="Times New Roman" w:hAnsi="Times New Roman" w:cs="Times New Roman"/>
          <w:b w:val="0"/>
          <w:bCs w:val="0"/>
          <w:i/>
          <w:iCs/>
          <w:color w:val="000000" w:themeColor="text1"/>
          <w:sz w:val="24"/>
          <w:szCs w:val="24"/>
          <w:lang/>
        </w:rPr>
        <w:t xml:space="preserve">. </w:t>
      </w:r>
      <w:bookmarkEnd w:id="8"/>
      <w:r w:rsidRPr="005F1AFE">
        <w:rPr>
          <w:rFonts w:ascii="Times New Roman" w:hAnsi="Times New Roman" w:cs="Times New Roman"/>
          <w:b w:val="0"/>
          <w:bCs w:val="0"/>
          <w:i/>
          <w:iCs/>
          <w:color w:val="000000" w:themeColor="text1"/>
          <w:sz w:val="24"/>
          <w:szCs w:val="24"/>
          <w:lang/>
        </w:rPr>
        <w:t xml:space="preserve">Транзиција система даљинског грејања према предложеном акционом плану до 2030. </w:t>
      </w:r>
      <w:r w:rsidRPr="002049FE">
        <w:rPr>
          <w:rFonts w:ascii="Times New Roman" w:hAnsi="Times New Roman" w:cs="Times New Roman"/>
          <w:b w:val="0"/>
          <w:bCs w:val="0"/>
          <w:i/>
          <w:iCs/>
          <w:color w:val="000000" w:themeColor="text1"/>
          <w:sz w:val="24"/>
          <w:szCs w:val="24"/>
          <w:lang/>
        </w:rPr>
        <w:t>године</w:t>
      </w:r>
      <w:r w:rsidR="00F165E9" w:rsidRPr="002049FE">
        <w:rPr>
          <w:rFonts w:ascii="Times New Roman" w:hAnsi="Times New Roman" w:cs="Times New Roman"/>
          <w:b w:val="0"/>
          <w:bCs w:val="0"/>
          <w:i/>
          <w:iCs/>
          <w:color w:val="000000" w:themeColor="text1"/>
          <w:sz w:val="24"/>
          <w:szCs w:val="24"/>
          <w:lang/>
        </w:rPr>
        <w:t xml:space="preserve"> [1</w:t>
      </w:r>
      <w:r w:rsidR="0053416E" w:rsidRPr="002049FE">
        <w:rPr>
          <w:rFonts w:ascii="Times New Roman" w:hAnsi="Times New Roman" w:cs="Times New Roman"/>
          <w:b w:val="0"/>
          <w:bCs w:val="0"/>
          <w:i/>
          <w:iCs/>
          <w:color w:val="000000" w:themeColor="text1"/>
          <w:sz w:val="24"/>
          <w:szCs w:val="24"/>
          <w:lang w:val="en-US"/>
        </w:rPr>
        <w:t>0</w:t>
      </w:r>
      <w:r w:rsidR="00F165E9" w:rsidRPr="002049FE">
        <w:rPr>
          <w:rFonts w:ascii="Times New Roman" w:hAnsi="Times New Roman" w:cs="Times New Roman"/>
          <w:b w:val="0"/>
          <w:bCs w:val="0"/>
          <w:i/>
          <w:iCs/>
          <w:color w:val="000000" w:themeColor="text1"/>
          <w:sz w:val="24"/>
          <w:szCs w:val="24"/>
          <w:lang/>
        </w:rPr>
        <w:t>]</w:t>
      </w:r>
    </w:p>
    <w:p w:rsidR="00B95CB3" w:rsidRPr="00D52A15" w:rsidRDefault="00B95CB3" w:rsidP="00C24362">
      <w:pPr>
        <w:rPr>
          <w:lang/>
        </w:rPr>
      </w:pPr>
    </w:p>
    <w:p w:rsidR="00B95CB3" w:rsidRPr="009C0082" w:rsidRDefault="009C0082" w:rsidP="009C0082">
      <w:pPr>
        <w:rPr>
          <w:lang/>
        </w:rPr>
      </w:pPr>
      <w:r>
        <w:rPr>
          <w:lang/>
        </w:rPr>
        <w:t xml:space="preserve">3.8 </w:t>
      </w:r>
      <w:r w:rsidR="00B95CB3" w:rsidRPr="009C0082">
        <w:rPr>
          <w:lang/>
        </w:rPr>
        <w:t>Ограничења</w:t>
      </w:r>
      <w:r w:rsidR="008167AA" w:rsidRPr="009C0082">
        <w:rPr>
          <w:lang/>
        </w:rPr>
        <w:t xml:space="preserve"> и изазови</w:t>
      </w:r>
    </w:p>
    <w:p w:rsidR="00B95CB3" w:rsidRPr="00D52A15" w:rsidRDefault="00B95CB3" w:rsidP="00C24362">
      <w:pPr>
        <w:rPr>
          <w:lang/>
        </w:rPr>
      </w:pPr>
    </w:p>
    <w:p w:rsidR="008167AA" w:rsidRPr="00D52A15" w:rsidRDefault="00B95CB3" w:rsidP="00C24362">
      <w:pPr>
        <w:rPr>
          <w:lang/>
        </w:rPr>
      </w:pPr>
      <w:r w:rsidRPr="00D52A15">
        <w:rPr>
          <w:lang/>
        </w:rPr>
        <w:t>Неоспорно је да потенцијал за транзицију ка одрживијим системима даљинског грејања постоји</w:t>
      </w:r>
      <w:r w:rsidR="00EB7253" w:rsidRPr="00D52A15">
        <w:rPr>
          <w:lang/>
        </w:rPr>
        <w:t xml:space="preserve"> и на страни потрошње и на страни производње</w:t>
      </w:r>
      <w:r w:rsidRPr="00D52A15">
        <w:rPr>
          <w:lang/>
        </w:rPr>
        <w:t xml:space="preserve">. Ипак, шире коришћење наведеног потенцијала </w:t>
      </w:r>
      <w:r w:rsidR="00A5566D" w:rsidRPr="00D52A15">
        <w:rPr>
          <w:lang/>
        </w:rPr>
        <w:t xml:space="preserve">прате одређена ограничења и препреке. </w:t>
      </w:r>
    </w:p>
    <w:p w:rsidR="008167AA" w:rsidRPr="000A0B8C" w:rsidRDefault="00A5566D" w:rsidP="00C24362">
      <w:pPr>
        <w:rPr>
          <w:lang w:val="en-US"/>
        </w:rPr>
      </w:pPr>
      <w:r w:rsidRPr="00D52A15">
        <w:rPr>
          <w:lang/>
        </w:rPr>
        <w:t xml:space="preserve">Да би енергија произведена коришћењем великих топлотних пумпи била декарбонизована потребно је да транзицију СДГ прати и транзиција електроенергетског система. Садашњи енергетски микс за производњу електричне енергије доводи у питање могућност смањења емисије угљендиоксида у случајевима када енергија произведена топлотним пумпа </w:t>
      </w:r>
      <w:r w:rsidR="00AA17EC" w:rsidRPr="00D52A15">
        <w:rPr>
          <w:lang/>
        </w:rPr>
        <w:t>замењује</w:t>
      </w:r>
      <w:r w:rsidRPr="00D52A15">
        <w:rPr>
          <w:lang/>
        </w:rPr>
        <w:t xml:space="preserve"> енергију произведену природним гасом</w:t>
      </w:r>
      <w:r w:rsidR="00F165E9">
        <w:rPr>
          <w:lang/>
        </w:rPr>
        <w:t xml:space="preserve"> [</w:t>
      </w:r>
      <w:r w:rsidR="0053416E">
        <w:rPr>
          <w:lang w:val="en-US"/>
        </w:rPr>
        <w:t>8</w:t>
      </w:r>
      <w:r w:rsidR="00F165E9">
        <w:rPr>
          <w:lang/>
        </w:rPr>
        <w:t>]</w:t>
      </w:r>
      <w:r w:rsidRPr="00D52A15">
        <w:rPr>
          <w:lang/>
        </w:rPr>
        <w:t>.</w:t>
      </w:r>
    </w:p>
    <w:p w:rsidR="008167AA" w:rsidRPr="00D52A15" w:rsidRDefault="00A5566D" w:rsidP="00C24362">
      <w:pPr>
        <w:rPr>
          <w:lang/>
        </w:rPr>
      </w:pPr>
      <w:r w:rsidRPr="00D52A15">
        <w:rPr>
          <w:lang/>
        </w:rPr>
        <w:t>У већини градова и општина изградња постројења за пречишћавање отпадних вода је у иницијалној фази. Локације постројења могу бити такве да повезивање са СДГ бу</w:t>
      </w:r>
      <w:r w:rsidR="00DF0459" w:rsidRPr="00D52A15">
        <w:rPr>
          <w:lang/>
        </w:rPr>
        <w:t>д</w:t>
      </w:r>
      <w:r w:rsidRPr="00D52A15">
        <w:rPr>
          <w:lang/>
        </w:rPr>
        <w:t>е економски или технички неоправдано. С обзиром да је реч о значајној локално доступној енергији</w:t>
      </w:r>
      <w:r w:rsidR="008167AA" w:rsidRPr="00D52A15">
        <w:rPr>
          <w:lang/>
        </w:rPr>
        <w:t>, независној од доба дана, годишњег доба и сл.,</w:t>
      </w:r>
      <w:r w:rsidRPr="00D52A15">
        <w:rPr>
          <w:lang/>
        </w:rPr>
        <w:t xml:space="preserve"> при избору локације постројења треба имати у виду </w:t>
      </w:r>
      <w:r w:rsidR="008167AA" w:rsidRPr="00D52A15">
        <w:rPr>
          <w:lang/>
        </w:rPr>
        <w:t xml:space="preserve">и потребу за </w:t>
      </w:r>
      <w:r w:rsidRPr="00D52A15">
        <w:rPr>
          <w:lang/>
        </w:rPr>
        <w:t>повезивање</w:t>
      </w:r>
      <w:r w:rsidR="008167AA" w:rsidRPr="00D52A15">
        <w:rPr>
          <w:lang/>
        </w:rPr>
        <w:t>м</w:t>
      </w:r>
      <w:r w:rsidRPr="00D52A15">
        <w:rPr>
          <w:lang/>
        </w:rPr>
        <w:t xml:space="preserve"> са постојећим СДГ.</w:t>
      </w:r>
    </w:p>
    <w:p w:rsidR="00DF0459" w:rsidRPr="00D52A15" w:rsidRDefault="00DF0459" w:rsidP="00C24362">
      <w:pPr>
        <w:rPr>
          <w:lang/>
        </w:rPr>
      </w:pPr>
      <w:r w:rsidRPr="00D52A15">
        <w:rPr>
          <w:lang/>
        </w:rPr>
        <w:t>Коришћење соларне енергије за производњу топлотне енергије захтева велику површину на коју би се поставили соларни колектори и изградило сезонско складиште топлоте. С обзиром да је реч о земљишту које се налази у градским срединама, обезбеђивање истог може бити велики трошак, чиме се директно утиче на исплативост инвестиције</w:t>
      </w:r>
      <w:r w:rsidR="00A47226" w:rsidRPr="00D52A15">
        <w:rPr>
          <w:lang/>
        </w:rPr>
        <w:t>, али и приуштивост енергије за потрошаче</w:t>
      </w:r>
      <w:r w:rsidR="008167AA" w:rsidRPr="00D52A15">
        <w:rPr>
          <w:lang/>
        </w:rPr>
        <w:t>.</w:t>
      </w:r>
    </w:p>
    <w:p w:rsidR="009C0082" w:rsidRDefault="00DF0459" w:rsidP="00C24362">
      <w:pPr>
        <w:rPr>
          <w:lang/>
        </w:rPr>
      </w:pPr>
      <w:r w:rsidRPr="00D52A15">
        <w:rPr>
          <w:lang/>
        </w:rPr>
        <w:t xml:space="preserve">Сагоревање дрвне биомасе, </w:t>
      </w:r>
      <w:r w:rsidR="00A47226" w:rsidRPr="00D52A15">
        <w:rPr>
          <w:lang/>
        </w:rPr>
        <w:t xml:space="preserve">иако </w:t>
      </w:r>
      <w:r w:rsidRPr="00D52A15">
        <w:rPr>
          <w:lang/>
        </w:rPr>
        <w:t xml:space="preserve">у нето билансу </w:t>
      </w:r>
      <w:r w:rsidR="008167AA" w:rsidRPr="00D52A15">
        <w:rPr>
          <w:lang/>
        </w:rPr>
        <w:t>не доприноси</w:t>
      </w:r>
      <w:r w:rsidRPr="00D52A15">
        <w:rPr>
          <w:lang/>
        </w:rPr>
        <w:t xml:space="preserve"> емисиј</w:t>
      </w:r>
      <w:r w:rsidR="008167AA" w:rsidRPr="00D52A15">
        <w:rPr>
          <w:lang/>
        </w:rPr>
        <w:t>и</w:t>
      </w:r>
      <w:r w:rsidRPr="00D52A15">
        <w:rPr>
          <w:lang/>
        </w:rPr>
        <w:t xml:space="preserve"> угљендиоксида, праћено је емисијом значајних количина загађујућих материја.</w:t>
      </w:r>
      <w:r w:rsidR="00A47226" w:rsidRPr="00D52A15">
        <w:rPr>
          <w:lang/>
        </w:rPr>
        <w:t xml:space="preserve"> Одрживост коришћења биомасе као енергента треба да буде праћена анализом потрошње енергије у целокупном циклусу</w:t>
      </w:r>
      <w:r w:rsidR="008167AA" w:rsidRPr="00D52A15">
        <w:rPr>
          <w:lang/>
        </w:rPr>
        <w:t xml:space="preserve"> и ланцу </w:t>
      </w:r>
      <w:r w:rsidR="00A47226" w:rsidRPr="00D52A15">
        <w:rPr>
          <w:lang/>
        </w:rPr>
        <w:t xml:space="preserve"> снабдевања, </w:t>
      </w:r>
      <w:r w:rsidR="008167AA" w:rsidRPr="00D52A15">
        <w:rPr>
          <w:lang/>
        </w:rPr>
        <w:t xml:space="preserve"> а </w:t>
      </w:r>
      <w:r w:rsidR="00A47226" w:rsidRPr="00D52A15">
        <w:rPr>
          <w:lang/>
        </w:rPr>
        <w:t>посебно потрошњ</w:t>
      </w:r>
      <w:r w:rsidR="008167AA" w:rsidRPr="00D52A15">
        <w:rPr>
          <w:lang/>
        </w:rPr>
        <w:t>е</w:t>
      </w:r>
      <w:r w:rsidR="00A47226" w:rsidRPr="00D52A15">
        <w:rPr>
          <w:lang/>
        </w:rPr>
        <w:t xml:space="preserve"> енергије у транспорту</w:t>
      </w:r>
      <w:r w:rsidR="008167AA" w:rsidRPr="00D52A15">
        <w:rPr>
          <w:lang/>
        </w:rPr>
        <w:t xml:space="preserve"> и припреми.</w:t>
      </w:r>
    </w:p>
    <w:p w:rsidR="00B95CB3" w:rsidRPr="00D52A15" w:rsidRDefault="00DF0459" w:rsidP="00C24362">
      <w:pPr>
        <w:rPr>
          <w:lang/>
        </w:rPr>
      </w:pPr>
      <w:r w:rsidRPr="00D52A15">
        <w:rPr>
          <w:lang/>
        </w:rPr>
        <w:lastRenderedPageBreak/>
        <w:t>Приказани потенцијали отпадне топлоте</w:t>
      </w:r>
      <w:r w:rsidR="00A47226" w:rsidRPr="00D52A15">
        <w:rPr>
          <w:lang/>
        </w:rPr>
        <w:t xml:space="preserve"> у индустрији</w:t>
      </w:r>
      <w:r w:rsidRPr="00D52A15">
        <w:rPr>
          <w:lang/>
        </w:rPr>
        <w:t xml:space="preserve"> добијени су применом </w:t>
      </w:r>
      <w:r w:rsidR="00AA17EC" w:rsidRPr="00D52A15">
        <w:rPr>
          <w:lang/>
        </w:rPr>
        <w:t>тзв. ”</w:t>
      </w:r>
      <w:r w:rsidR="001C2FAA" w:rsidRPr="00D52A15">
        <w:rPr>
          <w:lang/>
        </w:rPr>
        <w:t>top down</w:t>
      </w:r>
      <w:r w:rsidR="00AA17EC" w:rsidRPr="00D52A15">
        <w:rPr>
          <w:lang/>
        </w:rPr>
        <w:t>”</w:t>
      </w:r>
      <w:r w:rsidR="001C2FAA" w:rsidRPr="00D52A15">
        <w:rPr>
          <w:lang/>
        </w:rPr>
        <w:t xml:space="preserve"> методологије, полазећи од биланса потрошње енергије у индустријским подсекторима. Даља, детаљнија анализа мора да обухвати </w:t>
      </w:r>
      <w:r w:rsidR="00302CE2" w:rsidRPr="00D52A15">
        <w:rPr>
          <w:lang/>
        </w:rPr>
        <w:t>”bottom</w:t>
      </w:r>
      <w:r w:rsidR="001C2FAA" w:rsidRPr="00D52A15">
        <w:rPr>
          <w:lang/>
        </w:rPr>
        <w:t xml:space="preserve"> up</w:t>
      </w:r>
      <w:r w:rsidR="00302CE2" w:rsidRPr="00D52A15">
        <w:rPr>
          <w:lang/>
        </w:rPr>
        <w:t>”</w:t>
      </w:r>
      <w:r w:rsidR="00EB7253" w:rsidRPr="00D52A15">
        <w:rPr>
          <w:lang/>
        </w:rPr>
        <w:t>приступ уз анализу конкретних постројења, њихових локација, сопствени</w:t>
      </w:r>
      <w:r w:rsidR="008167AA" w:rsidRPr="00D52A15">
        <w:rPr>
          <w:lang/>
        </w:rPr>
        <w:t>х</w:t>
      </w:r>
      <w:r w:rsidR="00EB7253" w:rsidRPr="00D52A15">
        <w:rPr>
          <w:lang/>
        </w:rPr>
        <w:t xml:space="preserve"> потреба</w:t>
      </w:r>
      <w:r w:rsidR="008167AA" w:rsidRPr="00D52A15">
        <w:rPr>
          <w:lang/>
        </w:rPr>
        <w:t xml:space="preserve"> индустрије</w:t>
      </w:r>
      <w:r w:rsidR="00EB7253" w:rsidRPr="00D52A15">
        <w:rPr>
          <w:lang/>
        </w:rPr>
        <w:t xml:space="preserve"> за отпадном топлотом, одређивањем расположиви</w:t>
      </w:r>
      <w:r w:rsidR="008167AA" w:rsidRPr="00D52A15">
        <w:rPr>
          <w:lang/>
        </w:rPr>
        <w:t xml:space="preserve">х </w:t>
      </w:r>
      <w:r w:rsidR="00EB7253" w:rsidRPr="00D52A15">
        <w:rPr>
          <w:lang/>
        </w:rPr>
        <w:t>количина и температуре отпадне топлоте, као и њене дневне или сезонске расположивости.</w:t>
      </w:r>
    </w:p>
    <w:p w:rsidR="00EB7253" w:rsidRPr="00D52A15" w:rsidRDefault="00EB7253" w:rsidP="00C24362">
      <w:pPr>
        <w:rPr>
          <w:lang/>
        </w:rPr>
      </w:pPr>
    </w:p>
    <w:p w:rsidR="00772822" w:rsidRPr="00A5597F" w:rsidRDefault="00A47226" w:rsidP="00C24362">
      <w:pPr>
        <w:rPr>
          <w:b/>
          <w:bCs/>
          <w:lang/>
        </w:rPr>
      </w:pPr>
      <w:r w:rsidRPr="00A5597F">
        <w:rPr>
          <w:b/>
          <w:bCs/>
          <w:lang/>
        </w:rPr>
        <w:t>ЗАКЉУЧАК</w:t>
      </w:r>
    </w:p>
    <w:p w:rsidR="009D187A" w:rsidRPr="00D52A15" w:rsidRDefault="009D187A" w:rsidP="00C24362">
      <w:pPr>
        <w:rPr>
          <w:lang/>
        </w:rPr>
      </w:pPr>
    </w:p>
    <w:p w:rsidR="00A47226" w:rsidRPr="00D52A15" w:rsidRDefault="009D187A" w:rsidP="00C24362">
      <w:pPr>
        <w:rPr>
          <w:lang/>
        </w:rPr>
      </w:pPr>
      <w:r w:rsidRPr="00D52A15">
        <w:rPr>
          <w:lang/>
        </w:rPr>
        <w:t xml:space="preserve">Системи даљинског грејања у Србији налазе се на почетку процеса енергетске транзиције.Формулисање жељеног циља и пут ка њему морају бити разрађени уз добро познавање почетне </w:t>
      </w:r>
      <w:r w:rsidR="00302CE2" w:rsidRPr="00D52A15">
        <w:rPr>
          <w:lang/>
        </w:rPr>
        <w:t>тачке</w:t>
      </w:r>
      <w:r w:rsidRPr="00D52A15">
        <w:rPr>
          <w:lang/>
        </w:rPr>
        <w:t xml:space="preserve"> на том путу. Сагледавање тренутног стања СДГ у Србији указује на низ специфичности које треба имати у виду при планирању индикативне путање. Из искуст</w:t>
      </w:r>
      <w:r w:rsidR="00A5597F">
        <w:rPr>
          <w:lang/>
        </w:rPr>
        <w:t>а</w:t>
      </w:r>
      <w:r w:rsidRPr="00D52A15">
        <w:rPr>
          <w:lang/>
        </w:rPr>
        <w:t xml:space="preserve">ва система који су већ на путу </w:t>
      </w:r>
      <w:r w:rsidR="00A47226" w:rsidRPr="00D52A15">
        <w:rPr>
          <w:lang/>
        </w:rPr>
        <w:t>т</w:t>
      </w:r>
      <w:r w:rsidRPr="00D52A15">
        <w:rPr>
          <w:lang/>
        </w:rPr>
        <w:t>ранзиције јасно је да је процес комплексан и компликован</w:t>
      </w:r>
      <w:r w:rsidR="00A5597F">
        <w:rPr>
          <w:lang/>
        </w:rPr>
        <w:t>,</w:t>
      </w:r>
      <w:r w:rsidR="00A47226" w:rsidRPr="00D52A15">
        <w:rPr>
          <w:lang/>
        </w:rPr>
        <w:t>и</w:t>
      </w:r>
      <w:r w:rsidRPr="00D52A15">
        <w:rPr>
          <w:lang/>
        </w:rPr>
        <w:t xml:space="preserve"> да </w:t>
      </w:r>
      <w:r w:rsidR="00302CE2" w:rsidRPr="00D52A15">
        <w:rPr>
          <w:lang/>
        </w:rPr>
        <w:t>обухвата</w:t>
      </w:r>
      <w:r w:rsidRPr="00D52A15">
        <w:rPr>
          <w:lang/>
        </w:rPr>
        <w:t xml:space="preserve"> не само техничке (инжењерске</w:t>
      </w:r>
      <w:r w:rsidR="009F0A38" w:rsidRPr="00D52A15">
        <w:rPr>
          <w:lang/>
        </w:rPr>
        <w:t>)</w:t>
      </w:r>
      <w:r w:rsidRPr="00D52A15">
        <w:rPr>
          <w:lang/>
        </w:rPr>
        <w:t>, већ и економске и социјалне</w:t>
      </w:r>
      <w:r w:rsidR="009F0A38" w:rsidRPr="00D52A15">
        <w:rPr>
          <w:lang/>
        </w:rPr>
        <w:t xml:space="preserve"> аспекте</w:t>
      </w:r>
      <w:r w:rsidRPr="00D52A15">
        <w:rPr>
          <w:lang/>
        </w:rPr>
        <w:t>.</w:t>
      </w:r>
    </w:p>
    <w:p w:rsidR="00A47226" w:rsidRPr="00D52A15" w:rsidRDefault="00A47226" w:rsidP="00C24362">
      <w:pPr>
        <w:rPr>
          <w:lang/>
        </w:rPr>
      </w:pPr>
      <w:r w:rsidRPr="00D52A15">
        <w:rPr>
          <w:lang/>
        </w:rPr>
        <w:t>Искуство</w:t>
      </w:r>
      <w:r w:rsidR="00D872EF" w:rsidRPr="00D52A15">
        <w:rPr>
          <w:lang/>
        </w:rPr>
        <w:t xml:space="preserve"> из европских држава</w:t>
      </w:r>
      <w:r w:rsidRPr="00D52A15">
        <w:rPr>
          <w:lang/>
        </w:rPr>
        <w:t xml:space="preserve"> говори да се као основни </w:t>
      </w:r>
      <w:r w:rsidR="00D872EF" w:rsidRPr="00D52A15">
        <w:rPr>
          <w:lang/>
        </w:rPr>
        <w:t xml:space="preserve"> циљ транзиције</w:t>
      </w:r>
      <w:r w:rsidRPr="00D52A15">
        <w:rPr>
          <w:lang/>
        </w:rPr>
        <w:t xml:space="preserve"> наводи најпре </w:t>
      </w:r>
      <w:r w:rsidR="00D872EF" w:rsidRPr="00D52A15">
        <w:rPr>
          <w:lang/>
        </w:rPr>
        <w:t>декарб</w:t>
      </w:r>
      <w:r w:rsidR="00302CE2" w:rsidRPr="00D52A15">
        <w:rPr>
          <w:lang/>
        </w:rPr>
        <w:t>о</w:t>
      </w:r>
      <w:r w:rsidR="00D872EF" w:rsidRPr="00D52A15">
        <w:rPr>
          <w:lang/>
        </w:rPr>
        <w:t>низација сектора.</w:t>
      </w:r>
      <w:r w:rsidR="00EB7253" w:rsidRPr="00D52A15">
        <w:rPr>
          <w:lang/>
        </w:rPr>
        <w:t>Транзиција ка нискоугље</w:t>
      </w:r>
      <w:r w:rsidR="00302CE2" w:rsidRPr="00D52A15">
        <w:rPr>
          <w:lang/>
        </w:rPr>
        <w:t>н</w:t>
      </w:r>
      <w:r w:rsidR="00EB7253" w:rsidRPr="00D52A15">
        <w:rPr>
          <w:lang/>
        </w:rPr>
        <w:t>ичним системима даљинског грејања подразумева не само шире коришћење обновљивих извора енергије</w:t>
      </w:r>
      <w:r w:rsidR="008167AA" w:rsidRPr="00D52A15">
        <w:rPr>
          <w:lang/>
        </w:rPr>
        <w:t>,</w:t>
      </w:r>
      <w:r w:rsidR="00EB7253" w:rsidRPr="00D52A15">
        <w:rPr>
          <w:lang/>
        </w:rPr>
        <w:t xml:space="preserve"> већ и развој паметних мрежа, складишта енергије, развој нових модела пословања</w:t>
      </w:r>
      <w:r w:rsidRPr="00D52A15">
        <w:rPr>
          <w:lang/>
        </w:rPr>
        <w:t>,</w:t>
      </w:r>
      <w:r w:rsidR="00EB7253" w:rsidRPr="00D52A15">
        <w:rPr>
          <w:lang/>
        </w:rPr>
        <w:t xml:space="preserve"> али и механизама подр</w:t>
      </w:r>
      <w:r w:rsidR="00D872EF" w:rsidRPr="00D52A15">
        <w:rPr>
          <w:lang/>
        </w:rPr>
        <w:t>шке и финансирања.</w:t>
      </w:r>
    </w:p>
    <w:p w:rsidR="008167AA" w:rsidRPr="00D52A15" w:rsidRDefault="00D872EF" w:rsidP="00C24362">
      <w:pPr>
        <w:rPr>
          <w:lang/>
        </w:rPr>
      </w:pPr>
      <w:r w:rsidRPr="00D52A15">
        <w:rPr>
          <w:lang/>
        </w:rPr>
        <w:t xml:space="preserve">У раду су </w:t>
      </w:r>
      <w:r w:rsidR="00302CE2" w:rsidRPr="00D52A15">
        <w:rPr>
          <w:lang/>
        </w:rPr>
        <w:t>приказани</w:t>
      </w:r>
      <w:r w:rsidRPr="00D52A15">
        <w:rPr>
          <w:lang/>
        </w:rPr>
        <w:t xml:space="preserve"> потенцијали обновљивих и алтернативних извора енергије који </w:t>
      </w:r>
      <w:r w:rsidR="008167AA" w:rsidRPr="00D52A15">
        <w:rPr>
          <w:lang/>
        </w:rPr>
        <w:t xml:space="preserve">би </w:t>
      </w:r>
      <w:r w:rsidRPr="00D52A15">
        <w:rPr>
          <w:lang/>
        </w:rPr>
        <w:t xml:space="preserve">у наредном периоду </w:t>
      </w:r>
      <w:r w:rsidR="008167AA" w:rsidRPr="00D52A15">
        <w:rPr>
          <w:lang/>
        </w:rPr>
        <w:t xml:space="preserve">требали </w:t>
      </w:r>
      <w:r w:rsidRPr="00D52A15">
        <w:rPr>
          <w:lang/>
        </w:rPr>
        <w:t xml:space="preserve">бити укључени у енергетски микс СДГ. </w:t>
      </w:r>
      <w:r w:rsidR="00302CE2" w:rsidRPr="00D52A15">
        <w:rPr>
          <w:lang/>
        </w:rPr>
        <w:t>Показано је да би до 2030. године учешће обновљивих извора енергије у производњи топлотне енергије у СДГ мог</w:t>
      </w:r>
      <w:r w:rsidR="009C0082">
        <w:rPr>
          <w:lang/>
        </w:rPr>
        <w:t>л</w:t>
      </w:r>
      <w:r w:rsidR="00302CE2" w:rsidRPr="00D52A15">
        <w:rPr>
          <w:lang/>
        </w:rPr>
        <w:t xml:space="preserve">о да достигне </w:t>
      </w:r>
      <w:r w:rsidR="008E6AEF" w:rsidRPr="00D52A15">
        <w:rPr>
          <w:lang/>
        </w:rPr>
        <w:t xml:space="preserve">20-25%. </w:t>
      </w:r>
      <w:r w:rsidR="008167AA" w:rsidRPr="00D52A15">
        <w:rPr>
          <w:lang/>
        </w:rPr>
        <w:t>Резултати приказани у овом раду могу бити корисни у процесу планирања</w:t>
      </w:r>
      <w:r w:rsidR="00E47E89" w:rsidRPr="00D52A15">
        <w:rPr>
          <w:lang/>
        </w:rPr>
        <w:t xml:space="preserve"> даљег </w:t>
      </w:r>
      <w:r w:rsidR="008167AA" w:rsidRPr="00D52A15">
        <w:rPr>
          <w:lang/>
        </w:rPr>
        <w:t>развоја</w:t>
      </w:r>
      <w:r w:rsidR="008E6AEF" w:rsidRPr="00D52A15">
        <w:rPr>
          <w:lang/>
        </w:rPr>
        <w:t xml:space="preserve"> СДГ</w:t>
      </w:r>
      <w:r w:rsidR="00E47E89" w:rsidRPr="00D52A15">
        <w:rPr>
          <w:lang/>
        </w:rPr>
        <w:t xml:space="preserve"> и допринети остварењу реално постављених циљева</w:t>
      </w:r>
      <w:r w:rsidR="008167AA" w:rsidRPr="00D52A15">
        <w:rPr>
          <w:lang/>
        </w:rPr>
        <w:t>.</w:t>
      </w:r>
    </w:p>
    <w:p w:rsidR="0074688B" w:rsidRPr="00D52A15" w:rsidRDefault="0074688B" w:rsidP="00C24362">
      <w:pPr>
        <w:rPr>
          <w:lang/>
        </w:rPr>
      </w:pPr>
    </w:p>
    <w:p w:rsidR="0074688B" w:rsidRPr="00A5597F" w:rsidRDefault="0074688B" w:rsidP="00C24362">
      <w:pPr>
        <w:rPr>
          <w:b/>
          <w:bCs/>
          <w:lang/>
        </w:rPr>
      </w:pPr>
      <w:r w:rsidRPr="00A5597F">
        <w:rPr>
          <w:b/>
          <w:bCs/>
          <w:lang/>
        </w:rPr>
        <w:t>ЛИТЕРАТУРА</w:t>
      </w:r>
    </w:p>
    <w:p w:rsidR="0074688B" w:rsidRPr="00D52A15" w:rsidRDefault="0074688B" w:rsidP="00C24362">
      <w:pPr>
        <w:rPr>
          <w:lang/>
        </w:rPr>
      </w:pPr>
    </w:p>
    <w:p w:rsidR="0074688B" w:rsidRPr="00D52A15" w:rsidRDefault="000A0B8C" w:rsidP="00AF5E05">
      <w:pPr>
        <w:pStyle w:val="ListParagraph"/>
        <w:numPr>
          <w:ilvl w:val="0"/>
          <w:numId w:val="5"/>
        </w:numPr>
        <w:ind w:left="567" w:hanging="501"/>
        <w:rPr>
          <w:lang/>
        </w:rPr>
      </w:pPr>
      <w:r>
        <w:rPr>
          <w:lang w:val="en-US"/>
        </w:rPr>
        <w:t xml:space="preserve">International Energy Agency, </w:t>
      </w:r>
      <w:r w:rsidRPr="000A0B8C">
        <w:rPr>
          <w:lang w:val="en-US"/>
        </w:rPr>
        <w:t>District heating needs flexibility to navigate the energy transition</w:t>
      </w:r>
      <w:r>
        <w:rPr>
          <w:lang w:val="en-US"/>
        </w:rPr>
        <w:t xml:space="preserve">, 2019, </w:t>
      </w:r>
      <w:hyperlink r:id="rId14" w:history="1">
        <w:r w:rsidR="0074688B" w:rsidRPr="00D52A15">
          <w:rPr>
            <w:rStyle w:val="Hyperlink"/>
            <w:lang/>
          </w:rPr>
          <w:t>https://www.iea.org/commentaries/district-heating-needs-flexibility-to-navigate-the-energy-transition</w:t>
        </w:r>
      </w:hyperlink>
      <w:r>
        <w:rPr>
          <w:lang w:val="en-US"/>
        </w:rPr>
        <w:t xml:space="preserve">. </w:t>
      </w:r>
    </w:p>
    <w:p w:rsidR="00D52A15" w:rsidRDefault="000A0B8C" w:rsidP="00AF5E05">
      <w:pPr>
        <w:pStyle w:val="ListParagraph"/>
        <w:numPr>
          <w:ilvl w:val="0"/>
          <w:numId w:val="5"/>
        </w:numPr>
        <w:ind w:left="567" w:hanging="501"/>
        <w:rPr>
          <w:lang/>
        </w:rPr>
      </w:pPr>
      <w:r>
        <w:rPr>
          <w:lang w:val="en-US"/>
        </w:rPr>
        <w:t xml:space="preserve">United Nations Foundation, Sustainable Development Goals, 2015, </w:t>
      </w:r>
      <w:hyperlink r:id="rId15" w:history="1">
        <w:r w:rsidRPr="009C63AF">
          <w:rPr>
            <w:rStyle w:val="Hyperlink"/>
            <w:lang/>
          </w:rPr>
          <w:t>https://unfoundation.org/what-we-do/issues/sustainable-development-goals/?gclid=Cj0KCQjw0tKiBhC6ARIsAAOXutm4bMsjljRcFZgy4xBYkx2hbjzu3QVmeSjLXUF5i_ctyfba9yADnDQaAp1gEALw_wcB</w:t>
        </w:r>
      </w:hyperlink>
      <w:r>
        <w:rPr>
          <w:lang w:val="en-US"/>
        </w:rPr>
        <w:t xml:space="preserve">. </w:t>
      </w:r>
    </w:p>
    <w:p w:rsidR="0074688B" w:rsidRPr="00855C08" w:rsidRDefault="000A0B8C" w:rsidP="00AF5E05">
      <w:pPr>
        <w:pStyle w:val="ListParagraph"/>
        <w:numPr>
          <w:ilvl w:val="0"/>
          <w:numId w:val="5"/>
        </w:numPr>
        <w:ind w:left="567" w:hanging="501"/>
        <w:rPr>
          <w:lang/>
        </w:rPr>
      </w:pPr>
      <w:r>
        <w:rPr>
          <w:lang w:val="en-US"/>
        </w:rPr>
        <w:t xml:space="preserve">European Commission, </w:t>
      </w:r>
      <w:r w:rsidRPr="000A0B8C">
        <w:rPr>
          <w:lang w:val="en-US"/>
        </w:rPr>
        <w:t>Heating and cooling</w:t>
      </w:r>
      <w:r>
        <w:rPr>
          <w:lang w:val="en-US"/>
        </w:rPr>
        <w:t>, 2020,</w:t>
      </w:r>
      <w:hyperlink r:id="rId16" w:history="1">
        <w:r w:rsidR="00D52A15" w:rsidRPr="009C63AF">
          <w:rPr>
            <w:rStyle w:val="Hyperlink"/>
            <w:lang/>
          </w:rPr>
          <w:t>https://energy.ec.europa.eu/topics/energy-efficiency/heating-and-cooling_en</w:t>
        </w:r>
      </w:hyperlink>
    </w:p>
    <w:p w:rsidR="00AF5E05" w:rsidRPr="002049FE" w:rsidRDefault="002049FE" w:rsidP="00AF5E05">
      <w:pPr>
        <w:pStyle w:val="ListParagraph"/>
        <w:numPr>
          <w:ilvl w:val="0"/>
          <w:numId w:val="5"/>
        </w:numPr>
        <w:ind w:left="567" w:hanging="501"/>
        <w:rPr>
          <w:lang/>
        </w:rPr>
      </w:pPr>
      <w:r w:rsidRPr="002049FE">
        <w:rPr>
          <w:lang/>
        </w:rPr>
        <w:t xml:space="preserve">Републички завод за статистику Србије, Енергетски биланс, 2017, </w:t>
      </w:r>
      <w:hyperlink r:id="rId17" w:history="1">
        <w:r w:rsidRPr="002049FE">
          <w:rPr>
            <w:rStyle w:val="Hyperlink"/>
            <w:lang/>
          </w:rPr>
          <w:t>https://www.stat.gov.rs/media/3994/ukupan-energetski-bilans-2017.pdf</w:t>
        </w:r>
      </w:hyperlink>
      <w:r w:rsidRPr="002049FE">
        <w:rPr>
          <w:lang/>
        </w:rPr>
        <w:t xml:space="preserve">. </w:t>
      </w:r>
    </w:p>
    <w:p w:rsidR="00AF5E05" w:rsidRDefault="00AF5E05" w:rsidP="00AF5E05">
      <w:pPr>
        <w:pStyle w:val="ListParagraph"/>
        <w:numPr>
          <w:ilvl w:val="0"/>
          <w:numId w:val="5"/>
        </w:numPr>
        <w:ind w:left="567" w:hanging="501"/>
        <w:rPr>
          <w:lang/>
        </w:rPr>
      </w:pPr>
      <w:r w:rsidRPr="00AF5E05">
        <w:rPr>
          <w:lang/>
        </w:rPr>
        <w:t>Econoler</w:t>
      </w:r>
      <w:r w:rsidR="0053416E">
        <w:rPr>
          <w:lang w:val="en-US"/>
        </w:rPr>
        <w:t xml:space="preserve">, </w:t>
      </w:r>
      <w:r w:rsidRPr="00AF5E05">
        <w:rPr>
          <w:lang/>
        </w:rPr>
        <w:t>National building energy efciency study for Serbia</w:t>
      </w:r>
      <w:r w:rsidR="0053416E">
        <w:rPr>
          <w:lang w:val="en-US"/>
        </w:rPr>
        <w:t xml:space="preserve">, </w:t>
      </w:r>
      <w:r w:rsidRPr="00AF5E05">
        <w:rPr>
          <w:lang/>
        </w:rPr>
        <w:t>World Bank</w:t>
      </w:r>
      <w:r w:rsidR="0053416E">
        <w:rPr>
          <w:lang w:val="en-US"/>
        </w:rPr>
        <w:t>, 2012.</w:t>
      </w:r>
    </w:p>
    <w:p w:rsidR="00AF5E05" w:rsidRDefault="0053416E" w:rsidP="00AF5E05">
      <w:pPr>
        <w:pStyle w:val="ListParagraph"/>
        <w:numPr>
          <w:ilvl w:val="0"/>
          <w:numId w:val="5"/>
        </w:numPr>
        <w:ind w:left="567" w:hanging="501"/>
        <w:rPr>
          <w:lang/>
        </w:rPr>
      </w:pPr>
      <w:r>
        <w:rPr>
          <w:lang/>
        </w:rPr>
        <w:t>Пословно удружење „Топлане Србије“, Извештај о раду, 2018.</w:t>
      </w:r>
    </w:p>
    <w:p w:rsidR="002049FE" w:rsidRPr="002049FE" w:rsidRDefault="002049FE" w:rsidP="002049FE">
      <w:pPr>
        <w:pStyle w:val="ListParagraph"/>
        <w:numPr>
          <w:ilvl w:val="0"/>
          <w:numId w:val="5"/>
        </w:numPr>
        <w:ind w:left="567" w:hanging="501"/>
        <w:rPr>
          <w:lang/>
        </w:rPr>
      </w:pPr>
      <w:r w:rsidRPr="002049FE">
        <w:rPr>
          <w:lang/>
        </w:rPr>
        <w:t>Републички завод за статистику Србије, Потрошња енергије у домаћинствима, Београд, Србија, ISBN 978-86-6161-207-7.</w:t>
      </w:r>
    </w:p>
    <w:p w:rsidR="00AF5E05" w:rsidRPr="0020381D" w:rsidRDefault="0053416E" w:rsidP="00AF5E05">
      <w:pPr>
        <w:pStyle w:val="ListParagraph"/>
        <w:numPr>
          <w:ilvl w:val="0"/>
          <w:numId w:val="5"/>
        </w:numPr>
        <w:ind w:left="567" w:hanging="501"/>
        <w:rPr>
          <w:lang/>
        </w:rPr>
      </w:pPr>
      <w:r>
        <w:rPr>
          <w:lang w:val="en-US"/>
        </w:rPr>
        <w:t xml:space="preserve">Živković, M., Ivezić, D.: </w:t>
      </w:r>
      <w:r w:rsidRPr="0053416E">
        <w:rPr>
          <w:i/>
          <w:iCs/>
          <w:lang w:val="en-US"/>
        </w:rPr>
        <w:t>Utilizing sewage wastewater heat in district heating systems in Serbia: effects on sustainability</w:t>
      </w:r>
      <w:r>
        <w:rPr>
          <w:i/>
          <w:iCs/>
          <w:lang w:val="en-US"/>
        </w:rPr>
        <w:t>,</w:t>
      </w:r>
      <w:r w:rsidRPr="0053416E">
        <w:rPr>
          <w:lang w:val="en-US"/>
        </w:rPr>
        <w:t>Clean Technologies and Environmental Policy</w:t>
      </w:r>
      <w:r>
        <w:rPr>
          <w:lang w:val="en-US"/>
        </w:rPr>
        <w:t>, V</w:t>
      </w:r>
      <w:r w:rsidRPr="0053416E">
        <w:rPr>
          <w:lang w:val="en-US"/>
        </w:rPr>
        <w:t>ol</w:t>
      </w:r>
      <w:r>
        <w:rPr>
          <w:lang w:val="en-US"/>
        </w:rPr>
        <w:t>.</w:t>
      </w:r>
      <w:r w:rsidRPr="0053416E">
        <w:rPr>
          <w:lang w:val="en-US"/>
        </w:rPr>
        <w:t xml:space="preserve"> 24, </w:t>
      </w:r>
      <w:r>
        <w:rPr>
          <w:lang w:val="en-US"/>
        </w:rPr>
        <w:t xml:space="preserve">2015, </w:t>
      </w:r>
      <w:r w:rsidRPr="0053416E">
        <w:rPr>
          <w:lang w:val="en-US"/>
        </w:rPr>
        <w:t>p</w:t>
      </w:r>
      <w:r>
        <w:rPr>
          <w:lang w:val="en-US"/>
        </w:rPr>
        <w:t xml:space="preserve">p. </w:t>
      </w:r>
      <w:r w:rsidRPr="0053416E">
        <w:rPr>
          <w:lang w:val="en-US"/>
        </w:rPr>
        <w:t>579–593</w:t>
      </w:r>
      <w:r>
        <w:rPr>
          <w:lang w:val="en-US"/>
        </w:rPr>
        <w:t>.</w:t>
      </w:r>
    </w:p>
    <w:p w:rsidR="0020381D" w:rsidRPr="0020381D" w:rsidRDefault="0053416E" w:rsidP="00AF5E05">
      <w:pPr>
        <w:pStyle w:val="ListParagraph"/>
        <w:numPr>
          <w:ilvl w:val="0"/>
          <w:numId w:val="5"/>
        </w:numPr>
        <w:ind w:left="567" w:hanging="501"/>
        <w:rPr>
          <w:lang/>
        </w:rPr>
      </w:pPr>
      <w:r w:rsidRPr="0053416E">
        <w:rPr>
          <w:lang/>
        </w:rPr>
        <w:lastRenderedPageBreak/>
        <w:t>Ivan Dochev</w:t>
      </w:r>
      <w:r>
        <w:rPr>
          <w:lang w:val="en-US"/>
        </w:rPr>
        <w:t xml:space="preserve">, I., </w:t>
      </w:r>
      <w:r w:rsidRPr="0053416E">
        <w:rPr>
          <w:lang/>
        </w:rPr>
        <w:t>Peters</w:t>
      </w:r>
      <w:r>
        <w:rPr>
          <w:lang w:val="en-US"/>
        </w:rPr>
        <w:t xml:space="preserve">, I., </w:t>
      </w:r>
      <w:r w:rsidRPr="0053416E">
        <w:rPr>
          <w:lang/>
        </w:rPr>
        <w:t>Seller</w:t>
      </w:r>
      <w:r>
        <w:rPr>
          <w:lang w:val="en-US"/>
        </w:rPr>
        <w:t xml:space="preserve">, H., </w:t>
      </w:r>
      <w:r w:rsidRPr="0053416E">
        <w:rPr>
          <w:lang/>
        </w:rPr>
        <w:t>Schuchardt</w:t>
      </w:r>
      <w:r>
        <w:rPr>
          <w:lang w:val="en-US"/>
        </w:rPr>
        <w:t xml:space="preserve">, G.K.: </w:t>
      </w:r>
      <w:r w:rsidRPr="000A211A">
        <w:rPr>
          <w:i/>
          <w:iCs/>
          <w:lang w:val="en-US"/>
        </w:rPr>
        <w:t>Analysing district heating potential with linear heat density. A case study from Hamburg, Energy Procedia</w:t>
      </w:r>
      <w:r w:rsidR="000A211A">
        <w:rPr>
          <w:lang w:val="en-US"/>
        </w:rPr>
        <w:t>, Vol. 149, 2018, pp 410-419.</w:t>
      </w:r>
    </w:p>
    <w:p w:rsidR="0020381D" w:rsidRPr="0020381D" w:rsidRDefault="009C0082" w:rsidP="00AF5E05">
      <w:pPr>
        <w:pStyle w:val="ListParagraph"/>
        <w:numPr>
          <w:ilvl w:val="0"/>
          <w:numId w:val="5"/>
        </w:numPr>
        <w:ind w:left="567" w:hanging="501"/>
        <w:rPr>
          <w:lang/>
        </w:rPr>
      </w:pPr>
      <w:r w:rsidRPr="009C0082">
        <w:rPr>
          <w:lang/>
        </w:rPr>
        <w:t>Renewable District Energy in the Western Balkans (ReDEWeB)</w:t>
      </w:r>
      <w:r w:rsidR="0053416E">
        <w:rPr>
          <w:lang/>
        </w:rPr>
        <w:t>,</w:t>
      </w:r>
      <w:r w:rsidRPr="009C0082">
        <w:rPr>
          <w:lang/>
        </w:rPr>
        <w:t xml:space="preserve"> Programme-Action Plan </w:t>
      </w:r>
      <w:r w:rsidRPr="002049FE">
        <w:rPr>
          <w:lang/>
        </w:rPr>
        <w:t>draft</w:t>
      </w:r>
      <w:r w:rsidR="0053416E" w:rsidRPr="002049FE">
        <w:rPr>
          <w:lang/>
        </w:rPr>
        <w:t>, 2023.</w:t>
      </w:r>
    </w:p>
    <w:p w:rsidR="0020381D" w:rsidRPr="005F1AFE" w:rsidRDefault="000A211A" w:rsidP="00AF5E05">
      <w:pPr>
        <w:pStyle w:val="ListParagraph"/>
        <w:numPr>
          <w:ilvl w:val="0"/>
          <w:numId w:val="5"/>
        </w:numPr>
        <w:ind w:left="567" w:hanging="501"/>
        <w:rPr>
          <w:lang/>
        </w:rPr>
      </w:pPr>
      <w:r>
        <w:rPr>
          <w:lang/>
        </w:rPr>
        <w:t xml:space="preserve">Република Србија, Програм управљања отпадом у републици Србији за период 2022 – 2031. године, 2022, </w:t>
      </w:r>
      <w:hyperlink r:id="rId18" w:history="1">
        <w:r w:rsidRPr="003D1BEE">
          <w:rPr>
            <w:rStyle w:val="Hyperlink"/>
            <w:lang w:val="en-US"/>
          </w:rPr>
          <w:t>https://www.ekologija.gov.rs/sites/default/files/2022-02/program_upravljanja_otpadom_u_rs_za_period_2022-2031._god_0_2.pdf</w:t>
        </w:r>
      </w:hyperlink>
      <w:r>
        <w:rPr>
          <w:lang/>
        </w:rPr>
        <w:t xml:space="preserve">. </w:t>
      </w:r>
    </w:p>
    <w:p w:rsidR="005F1AFE" w:rsidRPr="00AF5E05" w:rsidRDefault="000A211A" w:rsidP="00AF5E05">
      <w:pPr>
        <w:pStyle w:val="ListParagraph"/>
        <w:numPr>
          <w:ilvl w:val="0"/>
          <w:numId w:val="5"/>
        </w:numPr>
        <w:ind w:left="567" w:hanging="501"/>
        <w:rPr>
          <w:lang/>
        </w:rPr>
      </w:pPr>
      <w:r w:rsidRPr="000A211A">
        <w:t>Ivezi</w:t>
      </w:r>
      <w:r>
        <w:t>ć, D., Ž</w:t>
      </w:r>
      <w:r w:rsidRPr="000A211A">
        <w:t>ivkovi</w:t>
      </w:r>
      <w:r>
        <w:t xml:space="preserve">ć, M., </w:t>
      </w:r>
      <w:r w:rsidRPr="000A211A">
        <w:t>Madžarević</w:t>
      </w:r>
      <w:r>
        <w:t xml:space="preserve">, A., </w:t>
      </w:r>
      <w:r w:rsidRPr="000A211A">
        <w:t>Gruji</w:t>
      </w:r>
      <w:r>
        <w:t>ć, M.:</w:t>
      </w:r>
      <w:r w:rsidRPr="000A211A">
        <w:rPr>
          <w:i/>
          <w:iCs/>
        </w:rPr>
        <w:t>Assessments of effects of implementation of strategic plans for development of Belgrade District heating system</w:t>
      </w:r>
      <w:r>
        <w:t xml:space="preserve">, </w:t>
      </w:r>
      <w:r w:rsidRPr="000A211A">
        <w:t>Sustainable Cities and Society</w:t>
      </w:r>
      <w:r>
        <w:t>, Vol. 61, 2020, 102304.</w:t>
      </w:r>
    </w:p>
    <w:p w:rsidR="00995034" w:rsidRPr="00D52A15" w:rsidRDefault="00995034" w:rsidP="00C24362">
      <w:pPr>
        <w:rPr>
          <w:lang/>
        </w:rPr>
      </w:pPr>
    </w:p>
    <w:p w:rsidR="00995034" w:rsidRPr="00D52A15" w:rsidRDefault="00995034" w:rsidP="00C24362">
      <w:pPr>
        <w:rPr>
          <w:lang/>
        </w:rPr>
      </w:pPr>
    </w:p>
    <w:p w:rsidR="009F0A38" w:rsidRPr="00D52A15" w:rsidRDefault="009F0A38" w:rsidP="00C24362">
      <w:pPr>
        <w:rPr>
          <w:lang/>
        </w:rPr>
      </w:pPr>
    </w:p>
    <w:p w:rsidR="00A47226" w:rsidRPr="00D52A15" w:rsidRDefault="00A47226" w:rsidP="00C24362">
      <w:pPr>
        <w:rPr>
          <w:lang/>
        </w:rPr>
      </w:pPr>
    </w:p>
    <w:p w:rsidR="00C9122F" w:rsidRPr="00D52A15" w:rsidRDefault="00C9122F" w:rsidP="00C24362">
      <w:pPr>
        <w:rPr>
          <w:lang/>
        </w:rPr>
      </w:pPr>
    </w:p>
    <w:sectPr w:rsidR="00C9122F" w:rsidRPr="00D52A15" w:rsidSect="00C24362">
      <w:pgSz w:w="11907" w:h="16840" w:code="9"/>
      <w:pgMar w:top="1701" w:right="1134" w:bottom="1865"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EC5" w:rsidRDefault="006C3EC5" w:rsidP="002311CB">
      <w:r>
        <w:separator/>
      </w:r>
    </w:p>
  </w:endnote>
  <w:endnote w:type="continuationSeparator" w:id="1">
    <w:p w:rsidR="006C3EC5" w:rsidRDefault="006C3EC5" w:rsidP="00231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EC5" w:rsidRDefault="006C3EC5" w:rsidP="002311CB">
      <w:r>
        <w:separator/>
      </w:r>
    </w:p>
  </w:footnote>
  <w:footnote w:type="continuationSeparator" w:id="1">
    <w:p w:rsidR="006C3EC5" w:rsidRDefault="006C3EC5" w:rsidP="00231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1C89"/>
    <w:multiLevelType w:val="hybridMultilevel"/>
    <w:tmpl w:val="900E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376201"/>
    <w:multiLevelType w:val="multilevel"/>
    <w:tmpl w:val="F38608D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4C43E1"/>
    <w:multiLevelType w:val="multilevel"/>
    <w:tmpl w:val="5B5C7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9D830CC"/>
    <w:multiLevelType w:val="hybridMultilevel"/>
    <w:tmpl w:val="A252CFFA"/>
    <w:lvl w:ilvl="0" w:tplc="A7BC6E9C">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0592F"/>
    <w:rsid w:val="00001978"/>
    <w:rsid w:val="00024152"/>
    <w:rsid w:val="000333E7"/>
    <w:rsid w:val="0007510A"/>
    <w:rsid w:val="000A0B8C"/>
    <w:rsid w:val="000A211A"/>
    <w:rsid w:val="000A27AF"/>
    <w:rsid w:val="000E6EE3"/>
    <w:rsid w:val="00130087"/>
    <w:rsid w:val="001850A4"/>
    <w:rsid w:val="001C2FAA"/>
    <w:rsid w:val="0020381D"/>
    <w:rsid w:val="002049FE"/>
    <w:rsid w:val="002311CB"/>
    <w:rsid w:val="0025495C"/>
    <w:rsid w:val="00267566"/>
    <w:rsid w:val="00273D34"/>
    <w:rsid w:val="00283BD2"/>
    <w:rsid w:val="002A5984"/>
    <w:rsid w:val="002D0903"/>
    <w:rsid w:val="002E6686"/>
    <w:rsid w:val="00302CE2"/>
    <w:rsid w:val="00364839"/>
    <w:rsid w:val="003E1673"/>
    <w:rsid w:val="00437124"/>
    <w:rsid w:val="004427A0"/>
    <w:rsid w:val="00480CA1"/>
    <w:rsid w:val="004B4ABC"/>
    <w:rsid w:val="0050592F"/>
    <w:rsid w:val="00511878"/>
    <w:rsid w:val="005249F5"/>
    <w:rsid w:val="005253A5"/>
    <w:rsid w:val="0053416E"/>
    <w:rsid w:val="00551162"/>
    <w:rsid w:val="005E0B56"/>
    <w:rsid w:val="005E2503"/>
    <w:rsid w:val="005F1AFE"/>
    <w:rsid w:val="00633B57"/>
    <w:rsid w:val="00686432"/>
    <w:rsid w:val="006B17D6"/>
    <w:rsid w:val="006B21C1"/>
    <w:rsid w:val="006C3EC5"/>
    <w:rsid w:val="0073679A"/>
    <w:rsid w:val="0074688B"/>
    <w:rsid w:val="00765EFD"/>
    <w:rsid w:val="00772822"/>
    <w:rsid w:val="007A25C6"/>
    <w:rsid w:val="007C2F6A"/>
    <w:rsid w:val="007F0B2D"/>
    <w:rsid w:val="0080020A"/>
    <w:rsid w:val="008167AA"/>
    <w:rsid w:val="00855C08"/>
    <w:rsid w:val="008657CA"/>
    <w:rsid w:val="008911EA"/>
    <w:rsid w:val="00892A0C"/>
    <w:rsid w:val="008C1332"/>
    <w:rsid w:val="008E6AEF"/>
    <w:rsid w:val="008E7395"/>
    <w:rsid w:val="00910461"/>
    <w:rsid w:val="0091799B"/>
    <w:rsid w:val="00925B68"/>
    <w:rsid w:val="00935378"/>
    <w:rsid w:val="009613F4"/>
    <w:rsid w:val="0097742A"/>
    <w:rsid w:val="00995034"/>
    <w:rsid w:val="009A0FFB"/>
    <w:rsid w:val="009C0082"/>
    <w:rsid w:val="009D187A"/>
    <w:rsid w:val="009E045D"/>
    <w:rsid w:val="009F0A38"/>
    <w:rsid w:val="00A47226"/>
    <w:rsid w:val="00A5566D"/>
    <w:rsid w:val="00A5597F"/>
    <w:rsid w:val="00A56BE5"/>
    <w:rsid w:val="00A63661"/>
    <w:rsid w:val="00A67C2A"/>
    <w:rsid w:val="00AA17EC"/>
    <w:rsid w:val="00AA1DD4"/>
    <w:rsid w:val="00AE7467"/>
    <w:rsid w:val="00AF0BA7"/>
    <w:rsid w:val="00AF0EB0"/>
    <w:rsid w:val="00AF5E05"/>
    <w:rsid w:val="00B11CD2"/>
    <w:rsid w:val="00B4347B"/>
    <w:rsid w:val="00B57E9F"/>
    <w:rsid w:val="00B66211"/>
    <w:rsid w:val="00B85BF3"/>
    <w:rsid w:val="00B93CDE"/>
    <w:rsid w:val="00B95CB3"/>
    <w:rsid w:val="00BB7F6C"/>
    <w:rsid w:val="00C1597A"/>
    <w:rsid w:val="00C24362"/>
    <w:rsid w:val="00C7168F"/>
    <w:rsid w:val="00C9122F"/>
    <w:rsid w:val="00CB649E"/>
    <w:rsid w:val="00CF1562"/>
    <w:rsid w:val="00D1300E"/>
    <w:rsid w:val="00D32FD9"/>
    <w:rsid w:val="00D334E7"/>
    <w:rsid w:val="00D52A15"/>
    <w:rsid w:val="00D84BB6"/>
    <w:rsid w:val="00D872EF"/>
    <w:rsid w:val="00DC1AE2"/>
    <w:rsid w:val="00DC5D1D"/>
    <w:rsid w:val="00DE227E"/>
    <w:rsid w:val="00DE4817"/>
    <w:rsid w:val="00DF0459"/>
    <w:rsid w:val="00E47E89"/>
    <w:rsid w:val="00E64F14"/>
    <w:rsid w:val="00E711B5"/>
    <w:rsid w:val="00E870A3"/>
    <w:rsid w:val="00EB3ABC"/>
    <w:rsid w:val="00EB7253"/>
    <w:rsid w:val="00EC75C8"/>
    <w:rsid w:val="00F165E9"/>
    <w:rsid w:val="00F50FED"/>
    <w:rsid w:val="00F5621D"/>
    <w:rsid w:val="00FE2C1F"/>
    <w:rsid w:val="00FE5B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2F"/>
    <w:pPr>
      <w:autoSpaceDE w:val="0"/>
      <w:autoSpaceDN w:val="0"/>
    </w:pPr>
    <w:rPr>
      <w:rFonts w:ascii="Times New Roman" w:eastAsia="Times New Roman" w:hAnsi="Times New Roman" w:cs="Times New Roman"/>
      <w:sz w:val="24"/>
      <w:szCs w:val="24"/>
      <w:lang w:val="en-GB"/>
    </w:rPr>
  </w:style>
  <w:style w:type="paragraph" w:styleId="Heading1">
    <w:name w:val="heading 1"/>
    <w:aliases w:val="FI_Heading 1,Über 1"/>
    <w:basedOn w:val="Normal"/>
    <w:next w:val="Normal"/>
    <w:link w:val="Heading1Char"/>
    <w:uiPriority w:val="9"/>
    <w:qFormat/>
    <w:rsid w:val="00772822"/>
    <w:pPr>
      <w:keepNext/>
      <w:keepLines/>
      <w:numPr>
        <w:numId w:val="1"/>
      </w:numPr>
      <w:autoSpaceDE/>
      <w:autoSpaceDN/>
      <w:spacing w:before="48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72822"/>
    <w:pPr>
      <w:keepNext/>
      <w:keepLines/>
      <w:numPr>
        <w:ilvl w:val="1"/>
        <w:numId w:val="1"/>
      </w:numPr>
      <w:autoSpaceDE/>
      <w:autoSpaceDN/>
      <w:spacing w:before="200" w:line="276" w:lineRule="auto"/>
      <w:jc w:val="left"/>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FI_Heading 3,Dritte Ebene,Über 3"/>
    <w:basedOn w:val="Normal"/>
    <w:next w:val="Normal"/>
    <w:link w:val="Heading3Char"/>
    <w:uiPriority w:val="9"/>
    <w:unhideWhenUsed/>
    <w:qFormat/>
    <w:rsid w:val="00772822"/>
    <w:pPr>
      <w:keepNext/>
      <w:keepLines/>
      <w:numPr>
        <w:ilvl w:val="2"/>
        <w:numId w:val="1"/>
      </w:numPr>
      <w:autoSpaceDE/>
      <w:autoSpaceDN/>
      <w:spacing w:before="200" w:line="276" w:lineRule="auto"/>
      <w:jc w:val="left"/>
      <w:outlineLvl w:val="2"/>
    </w:pPr>
    <w:rPr>
      <w:rFonts w:asciiTheme="majorHAnsi" w:eastAsiaTheme="majorEastAsia" w:hAnsiTheme="majorHAnsi" w:cstheme="majorBidi"/>
      <w:b/>
      <w:bCs/>
      <w:color w:val="5B9BD5" w:themeColor="accent1"/>
      <w:sz w:val="22"/>
      <w:szCs w:val="22"/>
    </w:rPr>
  </w:style>
  <w:style w:type="paragraph" w:styleId="Heading4">
    <w:name w:val="heading 4"/>
    <w:aliases w:val="FI_Heading 4,Vierte Ebene,Heading 4 Char Char Char,Über 4"/>
    <w:basedOn w:val="Normal"/>
    <w:next w:val="Normal"/>
    <w:link w:val="Heading4Char"/>
    <w:uiPriority w:val="9"/>
    <w:unhideWhenUsed/>
    <w:qFormat/>
    <w:rsid w:val="00772822"/>
    <w:pPr>
      <w:keepNext/>
      <w:keepLines/>
      <w:numPr>
        <w:ilvl w:val="3"/>
        <w:numId w:val="1"/>
      </w:numPr>
      <w:autoSpaceDE/>
      <w:autoSpaceDN/>
      <w:spacing w:before="200" w:line="276" w:lineRule="auto"/>
      <w:jc w:val="left"/>
      <w:outlineLvl w:val="3"/>
    </w:pPr>
    <w:rPr>
      <w:rFonts w:asciiTheme="majorHAnsi" w:eastAsiaTheme="majorEastAsia" w:hAnsiTheme="majorHAnsi" w:cstheme="majorBidi"/>
      <w:b/>
      <w:bCs/>
      <w:i/>
      <w:iCs/>
      <w:color w:val="5B9BD5" w:themeColor="accent1"/>
      <w:sz w:val="22"/>
      <w:szCs w:val="22"/>
    </w:rPr>
  </w:style>
  <w:style w:type="paragraph" w:styleId="Heading5">
    <w:name w:val="heading 5"/>
    <w:aliases w:val="FI_Heading 5,Über 5"/>
    <w:basedOn w:val="Normal"/>
    <w:next w:val="Normal"/>
    <w:link w:val="Heading5Char"/>
    <w:uiPriority w:val="9"/>
    <w:unhideWhenUsed/>
    <w:qFormat/>
    <w:rsid w:val="00772822"/>
    <w:pPr>
      <w:keepNext/>
      <w:keepLines/>
      <w:numPr>
        <w:ilvl w:val="4"/>
        <w:numId w:val="1"/>
      </w:numPr>
      <w:autoSpaceDE/>
      <w:autoSpaceDN/>
      <w:spacing w:before="200" w:line="276" w:lineRule="auto"/>
      <w:jc w:val="left"/>
      <w:outlineLvl w:val="4"/>
    </w:pPr>
    <w:rPr>
      <w:rFonts w:asciiTheme="majorHAnsi" w:eastAsiaTheme="majorEastAsia" w:hAnsiTheme="majorHAnsi" w:cstheme="majorBidi"/>
      <w:color w:val="1F4D78" w:themeColor="accent1" w:themeShade="7F"/>
      <w:sz w:val="22"/>
      <w:szCs w:val="22"/>
    </w:rPr>
  </w:style>
  <w:style w:type="paragraph" w:styleId="Heading6">
    <w:name w:val="heading 6"/>
    <w:aliases w:val="FI_Heading 6,Über 6"/>
    <w:basedOn w:val="Normal"/>
    <w:next w:val="Normal"/>
    <w:link w:val="Heading6Char"/>
    <w:uiPriority w:val="9"/>
    <w:unhideWhenUsed/>
    <w:qFormat/>
    <w:rsid w:val="00772822"/>
    <w:pPr>
      <w:keepNext/>
      <w:keepLines/>
      <w:numPr>
        <w:ilvl w:val="5"/>
        <w:numId w:val="1"/>
      </w:numPr>
      <w:autoSpaceDE/>
      <w:autoSpaceDN/>
      <w:spacing w:before="200" w:line="276" w:lineRule="auto"/>
      <w:jc w:val="left"/>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aliases w:val="FI_Heading 7"/>
    <w:basedOn w:val="Normal"/>
    <w:next w:val="Normal"/>
    <w:link w:val="Heading7Char"/>
    <w:uiPriority w:val="9"/>
    <w:unhideWhenUsed/>
    <w:qFormat/>
    <w:rsid w:val="00772822"/>
    <w:pPr>
      <w:keepNext/>
      <w:keepLines/>
      <w:numPr>
        <w:ilvl w:val="6"/>
        <w:numId w:val="1"/>
      </w:numPr>
      <w:autoSpaceDE/>
      <w:autoSpaceDN/>
      <w:spacing w:before="200" w:line="276" w:lineRule="auto"/>
      <w:jc w:val="left"/>
      <w:outlineLvl w:val="6"/>
    </w:pPr>
    <w:rPr>
      <w:rFonts w:asciiTheme="majorHAnsi" w:eastAsiaTheme="majorEastAsia" w:hAnsiTheme="majorHAnsi" w:cstheme="majorBidi"/>
      <w:i/>
      <w:iCs/>
      <w:color w:val="404040" w:themeColor="text1" w:themeTint="BF"/>
      <w:sz w:val="22"/>
      <w:szCs w:val="22"/>
    </w:rPr>
  </w:style>
  <w:style w:type="paragraph" w:styleId="Heading8">
    <w:name w:val="heading 8"/>
    <w:aliases w:val="FI_Heading 8"/>
    <w:basedOn w:val="Normal"/>
    <w:next w:val="Normal"/>
    <w:link w:val="Heading8Char"/>
    <w:uiPriority w:val="9"/>
    <w:unhideWhenUsed/>
    <w:qFormat/>
    <w:rsid w:val="00772822"/>
    <w:pPr>
      <w:keepNext/>
      <w:keepLines/>
      <w:numPr>
        <w:ilvl w:val="7"/>
        <w:numId w:val="1"/>
      </w:numPr>
      <w:autoSpaceDE/>
      <w:autoSpaceDN/>
      <w:spacing w:before="200" w:line="276" w:lineRule="auto"/>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FI_Heading 9"/>
    <w:basedOn w:val="Normal"/>
    <w:next w:val="Normal"/>
    <w:link w:val="Heading9Char"/>
    <w:uiPriority w:val="9"/>
    <w:unhideWhenUsed/>
    <w:qFormat/>
    <w:rsid w:val="00772822"/>
    <w:pPr>
      <w:keepNext/>
      <w:keepLines/>
      <w:numPr>
        <w:ilvl w:val="8"/>
        <w:numId w:val="1"/>
      </w:numPr>
      <w:autoSpaceDE/>
      <w:autoSpaceDN/>
      <w:spacing w:before="200" w:line="276" w:lineRule="auto"/>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0592F"/>
    <w:rPr>
      <w:sz w:val="16"/>
      <w:szCs w:val="16"/>
    </w:rPr>
  </w:style>
  <w:style w:type="paragraph" w:styleId="CommentText">
    <w:name w:val="annotation text"/>
    <w:basedOn w:val="Normal"/>
    <w:link w:val="CommentTextChar"/>
    <w:uiPriority w:val="99"/>
    <w:rsid w:val="0050592F"/>
    <w:rPr>
      <w:sz w:val="20"/>
      <w:szCs w:val="20"/>
    </w:rPr>
  </w:style>
  <w:style w:type="character" w:customStyle="1" w:styleId="CommentTextChar">
    <w:name w:val="Comment Text Char"/>
    <w:basedOn w:val="DefaultParagraphFont"/>
    <w:link w:val="CommentText"/>
    <w:uiPriority w:val="99"/>
    <w:rsid w:val="0050592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0592F"/>
    <w:rPr>
      <w:rFonts w:ascii="Tahoma" w:hAnsi="Tahoma" w:cs="Tahoma"/>
      <w:sz w:val="16"/>
      <w:szCs w:val="16"/>
    </w:rPr>
  </w:style>
  <w:style w:type="character" w:customStyle="1" w:styleId="BalloonTextChar">
    <w:name w:val="Balloon Text Char"/>
    <w:basedOn w:val="DefaultParagraphFont"/>
    <w:link w:val="BalloonText"/>
    <w:uiPriority w:val="99"/>
    <w:semiHidden/>
    <w:rsid w:val="0050592F"/>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2311CB"/>
    <w:rPr>
      <w:sz w:val="20"/>
      <w:szCs w:val="20"/>
    </w:rPr>
  </w:style>
  <w:style w:type="character" w:customStyle="1" w:styleId="FootnoteTextChar">
    <w:name w:val="Footnote Text Char"/>
    <w:basedOn w:val="DefaultParagraphFont"/>
    <w:link w:val="FootnoteText"/>
    <w:uiPriority w:val="99"/>
    <w:semiHidden/>
    <w:rsid w:val="002311CB"/>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2311CB"/>
    <w:rPr>
      <w:vertAlign w:val="superscript"/>
    </w:rPr>
  </w:style>
  <w:style w:type="paragraph" w:styleId="Caption">
    <w:name w:val="caption"/>
    <w:aliases w:val="FI_Caption"/>
    <w:basedOn w:val="Normal"/>
    <w:next w:val="Normal"/>
    <w:link w:val="CaptionChar"/>
    <w:uiPriority w:val="35"/>
    <w:unhideWhenUsed/>
    <w:qFormat/>
    <w:rsid w:val="00772822"/>
    <w:pPr>
      <w:autoSpaceDE/>
      <w:autoSpaceDN/>
      <w:spacing w:after="200"/>
      <w:jc w:val="left"/>
    </w:pPr>
    <w:rPr>
      <w:rFonts w:asciiTheme="minorHAnsi" w:eastAsiaTheme="minorHAnsi" w:hAnsiTheme="minorHAnsi" w:cstheme="minorBidi"/>
      <w:b/>
      <w:bCs/>
      <w:color w:val="5B9BD5" w:themeColor="accent1"/>
      <w:sz w:val="18"/>
      <w:szCs w:val="18"/>
    </w:rPr>
  </w:style>
  <w:style w:type="character" w:customStyle="1" w:styleId="CaptionChar">
    <w:name w:val="Caption Char"/>
    <w:aliases w:val="FI_Caption Char"/>
    <w:link w:val="Caption"/>
    <w:uiPriority w:val="35"/>
    <w:locked/>
    <w:rsid w:val="00772822"/>
    <w:rPr>
      <w:b/>
      <w:bCs/>
      <w:color w:val="5B9BD5" w:themeColor="accent1"/>
      <w:sz w:val="18"/>
      <w:szCs w:val="18"/>
      <w:lang w:val="en-GB"/>
    </w:rPr>
  </w:style>
  <w:style w:type="character" w:customStyle="1" w:styleId="Heading1Char">
    <w:name w:val="Heading 1 Char"/>
    <w:aliases w:val="FI_Heading 1 Char,Über 1 Char"/>
    <w:basedOn w:val="DefaultParagraphFont"/>
    <w:link w:val="Heading1"/>
    <w:uiPriority w:val="9"/>
    <w:rsid w:val="00772822"/>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772822"/>
    <w:rPr>
      <w:rFonts w:asciiTheme="majorHAnsi" w:eastAsiaTheme="majorEastAsia" w:hAnsiTheme="majorHAnsi" w:cstheme="majorBidi"/>
      <w:b/>
      <w:bCs/>
      <w:color w:val="5B9BD5" w:themeColor="accent1"/>
      <w:sz w:val="26"/>
      <w:szCs w:val="26"/>
      <w:lang w:val="en-GB"/>
    </w:rPr>
  </w:style>
  <w:style w:type="character" w:customStyle="1" w:styleId="Heading3Char">
    <w:name w:val="Heading 3 Char"/>
    <w:aliases w:val="FI_Heading 3 Char,Dritte Ebene Char,Über 3 Char"/>
    <w:basedOn w:val="DefaultParagraphFont"/>
    <w:link w:val="Heading3"/>
    <w:uiPriority w:val="9"/>
    <w:rsid w:val="00772822"/>
    <w:rPr>
      <w:rFonts w:asciiTheme="majorHAnsi" w:eastAsiaTheme="majorEastAsia" w:hAnsiTheme="majorHAnsi" w:cstheme="majorBidi"/>
      <w:b/>
      <w:bCs/>
      <w:color w:val="5B9BD5" w:themeColor="accent1"/>
      <w:lang w:val="en-GB"/>
    </w:rPr>
  </w:style>
  <w:style w:type="character" w:customStyle="1" w:styleId="Heading4Char">
    <w:name w:val="Heading 4 Char"/>
    <w:aliases w:val="FI_Heading 4 Char,Vierte Ebene Char,Heading 4 Char Char Char Char,Über 4 Char"/>
    <w:basedOn w:val="DefaultParagraphFont"/>
    <w:link w:val="Heading4"/>
    <w:uiPriority w:val="9"/>
    <w:rsid w:val="00772822"/>
    <w:rPr>
      <w:rFonts w:asciiTheme="majorHAnsi" w:eastAsiaTheme="majorEastAsia" w:hAnsiTheme="majorHAnsi" w:cstheme="majorBidi"/>
      <w:b/>
      <w:bCs/>
      <w:i/>
      <w:iCs/>
      <w:color w:val="5B9BD5" w:themeColor="accent1"/>
      <w:lang w:val="en-GB"/>
    </w:rPr>
  </w:style>
  <w:style w:type="character" w:customStyle="1" w:styleId="Heading5Char">
    <w:name w:val="Heading 5 Char"/>
    <w:aliases w:val="FI_Heading 5 Char,Über 5 Char"/>
    <w:basedOn w:val="DefaultParagraphFont"/>
    <w:link w:val="Heading5"/>
    <w:uiPriority w:val="9"/>
    <w:rsid w:val="00772822"/>
    <w:rPr>
      <w:rFonts w:asciiTheme="majorHAnsi" w:eastAsiaTheme="majorEastAsia" w:hAnsiTheme="majorHAnsi" w:cstheme="majorBidi"/>
      <w:color w:val="1F4D78" w:themeColor="accent1" w:themeShade="7F"/>
      <w:lang w:val="en-GB"/>
    </w:rPr>
  </w:style>
  <w:style w:type="character" w:customStyle="1" w:styleId="Heading6Char">
    <w:name w:val="Heading 6 Char"/>
    <w:aliases w:val="FI_Heading 6 Char,Über 6 Char"/>
    <w:basedOn w:val="DefaultParagraphFont"/>
    <w:link w:val="Heading6"/>
    <w:uiPriority w:val="9"/>
    <w:rsid w:val="00772822"/>
    <w:rPr>
      <w:rFonts w:asciiTheme="majorHAnsi" w:eastAsiaTheme="majorEastAsia" w:hAnsiTheme="majorHAnsi" w:cstheme="majorBidi"/>
      <w:i/>
      <w:iCs/>
      <w:color w:val="1F4D78" w:themeColor="accent1" w:themeShade="7F"/>
      <w:lang w:val="en-GB"/>
    </w:rPr>
  </w:style>
  <w:style w:type="character" w:customStyle="1" w:styleId="Heading7Char">
    <w:name w:val="Heading 7 Char"/>
    <w:aliases w:val="FI_Heading 7 Char"/>
    <w:basedOn w:val="DefaultParagraphFont"/>
    <w:link w:val="Heading7"/>
    <w:uiPriority w:val="9"/>
    <w:rsid w:val="00772822"/>
    <w:rPr>
      <w:rFonts w:asciiTheme="majorHAnsi" w:eastAsiaTheme="majorEastAsia" w:hAnsiTheme="majorHAnsi" w:cstheme="majorBidi"/>
      <w:i/>
      <w:iCs/>
      <w:color w:val="404040" w:themeColor="text1" w:themeTint="BF"/>
      <w:lang w:val="en-GB"/>
    </w:rPr>
  </w:style>
  <w:style w:type="character" w:customStyle="1" w:styleId="Heading8Char">
    <w:name w:val="Heading 8 Char"/>
    <w:aliases w:val="FI_Heading 8 Char"/>
    <w:basedOn w:val="DefaultParagraphFont"/>
    <w:link w:val="Heading8"/>
    <w:uiPriority w:val="9"/>
    <w:rsid w:val="0077282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aliases w:val="FI_Heading 9 Char"/>
    <w:basedOn w:val="DefaultParagraphFont"/>
    <w:link w:val="Heading9"/>
    <w:uiPriority w:val="9"/>
    <w:rsid w:val="00772822"/>
    <w:rPr>
      <w:rFonts w:asciiTheme="majorHAnsi" w:eastAsiaTheme="majorEastAsia" w:hAnsiTheme="majorHAnsi" w:cstheme="majorBidi"/>
      <w:i/>
      <w:iCs/>
      <w:color w:val="404040" w:themeColor="text1" w:themeTint="BF"/>
      <w:sz w:val="20"/>
      <w:szCs w:val="20"/>
      <w:lang w:val="en-GB"/>
    </w:rPr>
  </w:style>
  <w:style w:type="table" w:styleId="TableGrid">
    <w:name w:val="Table Grid"/>
    <w:aliases w:val="Zchn Zchn Char Zchn Zchn Char Zchn Zchn,Zchn Zchn Char Zchn Zchn Char Char Char Char Zchn Zchn Zchn,Zchn Zchn Char Zchn Zchn Char Zchn Char Zchn Zchn,Zchn Zchn Char Zchn Char Zchn Char Zchn Zchn Zchn,denkstatt,GFA Table Grid"/>
    <w:basedOn w:val="TableNormal"/>
    <w:uiPriority w:val="39"/>
    <w:rsid w:val="00772822"/>
    <w:pPr>
      <w:jc w:val="left"/>
    </w:pPr>
    <w:rPr>
      <w:sz w:val="20"/>
      <w:szCs w:val="20"/>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chor-text">
    <w:name w:val="anchor-text"/>
    <w:basedOn w:val="DefaultParagraphFont"/>
    <w:rsid w:val="00A67C2A"/>
  </w:style>
  <w:style w:type="character" w:styleId="Hyperlink">
    <w:name w:val="Hyperlink"/>
    <w:basedOn w:val="DefaultParagraphFont"/>
    <w:uiPriority w:val="99"/>
    <w:unhideWhenUsed/>
    <w:rsid w:val="00EC75C8"/>
    <w:rPr>
      <w:color w:val="0563C1" w:themeColor="hyperlink"/>
      <w:u w:val="single"/>
    </w:rPr>
  </w:style>
  <w:style w:type="paragraph" w:styleId="NormalWeb">
    <w:name w:val="Normal (Web)"/>
    <w:basedOn w:val="Normal"/>
    <w:uiPriority w:val="99"/>
    <w:semiHidden/>
    <w:unhideWhenUsed/>
    <w:rsid w:val="00B95CB3"/>
    <w:pPr>
      <w:autoSpaceDE/>
      <w:autoSpaceDN/>
      <w:spacing w:before="100" w:beforeAutospacing="1" w:after="100" w:afterAutospacing="1"/>
      <w:jc w:val="left"/>
    </w:pPr>
    <w:rPr>
      <w:lang w:val="en-US"/>
    </w:rPr>
  </w:style>
  <w:style w:type="paragraph" w:styleId="ListParagraph">
    <w:name w:val="List Paragraph"/>
    <w:basedOn w:val="Normal"/>
    <w:uiPriority w:val="34"/>
    <w:qFormat/>
    <w:rsid w:val="00A47226"/>
    <w:pPr>
      <w:ind w:left="720"/>
      <w:contextualSpacing/>
    </w:pPr>
  </w:style>
  <w:style w:type="character" w:customStyle="1" w:styleId="UnresolvedMention">
    <w:name w:val="Unresolved Mention"/>
    <w:basedOn w:val="DefaultParagraphFont"/>
    <w:uiPriority w:val="99"/>
    <w:semiHidden/>
    <w:unhideWhenUsed/>
    <w:rsid w:val="00437124"/>
    <w:rPr>
      <w:color w:val="605E5C"/>
      <w:shd w:val="clear" w:color="auto" w:fill="E1DFDD"/>
    </w:rPr>
  </w:style>
  <w:style w:type="character" w:styleId="FollowedHyperlink">
    <w:name w:val="FollowedHyperlink"/>
    <w:basedOn w:val="DefaultParagraphFont"/>
    <w:uiPriority w:val="99"/>
    <w:semiHidden/>
    <w:unhideWhenUsed/>
    <w:rsid w:val="0074688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1248556">
      <w:bodyDiv w:val="1"/>
      <w:marLeft w:val="0"/>
      <w:marRight w:val="0"/>
      <w:marTop w:val="0"/>
      <w:marBottom w:val="0"/>
      <w:divBdr>
        <w:top w:val="none" w:sz="0" w:space="0" w:color="auto"/>
        <w:left w:val="none" w:sz="0" w:space="0" w:color="auto"/>
        <w:bottom w:val="none" w:sz="0" w:space="0" w:color="auto"/>
        <w:right w:val="none" w:sz="0" w:space="0" w:color="auto"/>
      </w:divBdr>
      <w:divsChild>
        <w:div w:id="55934861">
          <w:marLeft w:val="0"/>
          <w:marRight w:val="0"/>
          <w:marTop w:val="0"/>
          <w:marBottom w:val="0"/>
          <w:divBdr>
            <w:top w:val="none" w:sz="0" w:space="0" w:color="auto"/>
            <w:left w:val="none" w:sz="0" w:space="0" w:color="auto"/>
            <w:bottom w:val="none" w:sz="0" w:space="0" w:color="auto"/>
            <w:right w:val="none" w:sz="0" w:space="0" w:color="auto"/>
          </w:divBdr>
          <w:divsChild>
            <w:div w:id="1991320508">
              <w:marLeft w:val="0"/>
              <w:marRight w:val="0"/>
              <w:marTop w:val="0"/>
              <w:marBottom w:val="0"/>
              <w:divBdr>
                <w:top w:val="none" w:sz="0" w:space="0" w:color="auto"/>
                <w:left w:val="none" w:sz="0" w:space="0" w:color="auto"/>
                <w:bottom w:val="none" w:sz="0" w:space="0" w:color="auto"/>
                <w:right w:val="none" w:sz="0" w:space="0" w:color="auto"/>
              </w:divBdr>
              <w:divsChild>
                <w:div w:id="9976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1338">
      <w:bodyDiv w:val="1"/>
      <w:marLeft w:val="0"/>
      <w:marRight w:val="0"/>
      <w:marTop w:val="0"/>
      <w:marBottom w:val="0"/>
      <w:divBdr>
        <w:top w:val="none" w:sz="0" w:space="0" w:color="auto"/>
        <w:left w:val="none" w:sz="0" w:space="0" w:color="auto"/>
        <w:bottom w:val="none" w:sz="0" w:space="0" w:color="auto"/>
        <w:right w:val="none" w:sz="0" w:space="0" w:color="auto"/>
      </w:divBdr>
    </w:div>
    <w:div w:id="1776050351">
      <w:bodyDiv w:val="1"/>
      <w:marLeft w:val="0"/>
      <w:marRight w:val="0"/>
      <w:marTop w:val="0"/>
      <w:marBottom w:val="0"/>
      <w:divBdr>
        <w:top w:val="none" w:sz="0" w:space="0" w:color="auto"/>
        <w:left w:val="none" w:sz="0" w:space="0" w:color="auto"/>
        <w:bottom w:val="none" w:sz="0" w:space="0" w:color="auto"/>
        <w:right w:val="none" w:sz="0" w:space="0" w:color="auto"/>
      </w:divBdr>
      <w:divsChild>
        <w:div w:id="1382096020">
          <w:marLeft w:val="0"/>
          <w:marRight w:val="0"/>
          <w:marTop w:val="0"/>
          <w:marBottom w:val="0"/>
          <w:divBdr>
            <w:top w:val="none" w:sz="0" w:space="0" w:color="auto"/>
            <w:left w:val="none" w:sz="0" w:space="0" w:color="auto"/>
            <w:bottom w:val="none" w:sz="0" w:space="0" w:color="auto"/>
            <w:right w:val="none" w:sz="0" w:space="0" w:color="auto"/>
          </w:divBdr>
          <w:divsChild>
            <w:div w:id="609166794">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ja.zivkovic@rgf.bg.ac.rs" TargetMode="External"/><Relationship Id="rId13" Type="http://schemas.openxmlformats.org/officeDocument/2006/relationships/image" Target="media/image3.png"/><Relationship Id="rId18" Type="http://schemas.openxmlformats.org/officeDocument/2006/relationships/hyperlink" Target="https://www.ekologija.gov.rs/sites/default/files/2022-02/program_upravljanja_otpadom_u_rs_za_period_2022-2031._god_0_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yperlink" Target="https://www.stat.gov.rs/media/3994/ukupan-energetski-bilans-2017.pdf" TargetMode="External"/><Relationship Id="rId2" Type="http://schemas.openxmlformats.org/officeDocument/2006/relationships/numbering" Target="numbering.xml"/><Relationship Id="rId16" Type="http://schemas.openxmlformats.org/officeDocument/2006/relationships/hyperlink" Target="https://energy.ec.europa.eu/topics/energy-efficiency/heating-and-cooling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unfoundation.org/what-we-do/issues/sustainable-development-goals/?gclid=Cj0KCQjw0tKiBhC6ARIsAAOXutm4bMsjljRcFZgy4xBYkx2hbjzu3QVmeSjLXUF5i_ctyfba9yADnDQaAp1gEALw_wcB"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jan.ivezic@rgf.bg.ac.rs" TargetMode="External"/><Relationship Id="rId14" Type="http://schemas.openxmlformats.org/officeDocument/2006/relationships/hyperlink" Target="https://www.iea.org/commentaries/district-heating-needs-flexibility-to-navigate-the-energy-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90F64-9F57-424F-97D1-653AA558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2</cp:revision>
  <dcterms:created xsi:type="dcterms:W3CDTF">2023-05-05T12:12:00Z</dcterms:created>
  <dcterms:modified xsi:type="dcterms:W3CDTF">2023-05-05T12:12:00Z</dcterms:modified>
</cp:coreProperties>
</file>